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6349.xml.htm"/>
      <w:bookmarkStart w:id="1" w:name="kswkform4_1786566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Mulroy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BOWMAN CONSULTING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12355 SUNRISE VALLEY DRIVE,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Bowman Consulting Group Ltd.</w:t>
              </w:r>
            </w:hyperlink>
            <w:r>
              <w:rPr/>
              <w:t xml:space="preserve"> [ </w:t>
            </w:r>
            <w:r>
              <w:rPr>
                <w:rFonts w:ascii="Times;serif" w:hAnsi="Times;serif"/>
                <w:color w:val="0000FF"/>
                <w:sz w:val="24"/>
                <w:shd w:fill="FFFFFF" w:val="clear"/>
              </w:rPr>
              <w:t>BWMN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42.373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26,330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under a Rule 10b5-1 trading plan adopted on March 13, 2026. The plan provides for the sale of the Company's common stock pursuant to the terms of the plan from June 2026 through August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Mulroy by Robert Hickey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6005" TargetMode="External"/><Relationship Id="rId5" Type="http://schemas.openxmlformats.org/officeDocument/2006/relationships/hyperlink" Target="http://www.sec.gov/cgi-bin/browse-edgar?action=getcompany&amp;CIK=00018475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3299</Characters>
  <CharactersWithSpaces>3843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