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lineRule="atLeast" w:line="142" w:before="0" w:after="0"/>
        <w:jc w:val="left"/>
        <w:rPr>
          <w:bdr w:val="single" w:sz="2" w:space="1" w:color="000000"/>
        </w:rPr>
      </w:pPr>
      <w:bookmarkStart w:id="0" w:name="d102424ddefa14a.htm"/>
      <w:bookmarkStart w:id="1" w:name="ksd102424ddefa14a"/>
      <w:bookmarkEnd w:id="0"/>
      <w:bookmarkEnd w:id="1"/>
      <w:r>
        <w:rPr>
          <w:bdr w:val="single" w:sz="2" w:space="1" w:color="000000"/>
        </w:rPr>
        <w:t xml:space="preserve">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0" w:after="0"/>
        <w:jc w:val="center"/>
        <w:rPr>
          <w:rFonts w:ascii="Times New Roman" w:hAnsi="Times New Roman"/>
          <w:b/>
          <w:sz w:val="36"/>
        </w:rPr>
      </w:pPr>
      <w:r>
        <w:rPr>
          <w:rFonts w:ascii="Times New Roman" w:hAnsi="Times New Roman"/>
          <w:b/>
          <w:sz w:val="36"/>
        </w:rPr>
        <w:t xml:space="preserve">UNITED STATES </w:t>
      </w:r>
    </w:p>
    <w:p>
      <w:pPr>
        <w:pStyle w:val="TextBody"/>
        <w:bidi w:val="0"/>
        <w:spacing w:before="0" w:after="0"/>
        <w:jc w:val="center"/>
        <w:rPr>
          <w:rFonts w:ascii="Times New Roman" w:hAnsi="Times New Roman"/>
          <w:b/>
          <w:sz w:val="36"/>
        </w:rPr>
      </w:pPr>
      <w:r>
        <w:rPr>
          <w:rFonts w:ascii="Times New Roman" w:hAnsi="Times New Roman"/>
          <w:b/>
          <w:sz w:val="36"/>
        </w:rPr>
        <w:t xml:space="preserve">SECURITIES AND EXCHANGE COMMISSION </w:t>
      </w:r>
    </w:p>
    <w:p>
      <w:pPr>
        <w:pStyle w:val="TextBody"/>
        <w:bidi w:val="0"/>
        <w:spacing w:before="0" w:after="0"/>
        <w:jc w:val="center"/>
        <w:rPr>
          <w:rFonts w:ascii="Times New Roman" w:hAnsi="Times New Roman"/>
          <w:b/>
          <w:sz w:val="24"/>
        </w:rPr>
      </w:pPr>
      <w:r>
        <w:rPr>
          <w:rFonts w:ascii="Times New Roman" w:hAnsi="Times New Roman"/>
          <w:b/>
          <w:sz w:val="24"/>
        </w:rPr>
        <w:t xml:space="preserve">Washington, D.C. 20549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Times New Roman" w:hAnsi="Times New Roman"/>
          <w:b/>
          <w:sz w:val="36"/>
        </w:rPr>
      </w:pPr>
      <w:r>
        <w:rPr>
          <w:rFonts w:ascii="Times New Roman" w:hAnsi="Times New Roman"/>
          <w:b/>
          <w:sz w:val="36"/>
        </w:rPr>
        <w:t xml:space="preserve">SCHEDULE 14A </w:t>
      </w:r>
    </w:p>
    <w:p>
      <w:pPr>
        <w:pStyle w:val="TextBody"/>
        <w:bidi w:val="0"/>
        <w:spacing w:before="0" w:after="0"/>
        <w:jc w:val="center"/>
        <w:rPr>
          <w:rFonts w:ascii="Times New Roman" w:hAnsi="Times New Roman"/>
          <w:b/>
          <w:sz w:val="24"/>
        </w:rPr>
      </w:pPr>
      <w:r>
        <w:rPr>
          <w:rFonts w:ascii="Times New Roman" w:hAnsi="Times New Roman"/>
          <w:b/>
          <w:sz w:val="24"/>
        </w:rPr>
        <w:t xml:space="preserve">(Rule 14a-101) </w:t>
      </w:r>
    </w:p>
    <w:p>
      <w:pPr>
        <w:pStyle w:val="TextBody"/>
        <w:bidi w:val="0"/>
        <w:spacing w:before="0" w:after="0"/>
        <w:jc w:val="center"/>
        <w:rPr>
          <w:rFonts w:ascii="Times New Roman" w:hAnsi="Times New Roman"/>
          <w:b/>
          <w:sz w:val="24"/>
        </w:rPr>
      </w:pPr>
      <w:r>
        <w:rPr>
          <w:rFonts w:ascii="Times New Roman" w:hAnsi="Times New Roman"/>
          <w:b/>
          <w:sz w:val="24"/>
        </w:rPr>
        <w:t xml:space="preserve">Proxy Statement Pursuant to Section 14(a) of the </w:t>
      </w:r>
    </w:p>
    <w:p>
      <w:pPr>
        <w:pStyle w:val="TextBody"/>
        <w:bidi w:val="0"/>
        <w:spacing w:before="0" w:after="0"/>
        <w:jc w:val="center"/>
        <w:rPr>
          <w:rFonts w:ascii="Times New Roman" w:hAnsi="Times New Roman"/>
          <w:b/>
          <w:sz w:val="24"/>
        </w:rPr>
      </w:pPr>
      <w:r>
        <w:rPr>
          <w:rFonts w:ascii="Times New Roman" w:hAnsi="Times New Roman"/>
          <w:b/>
          <w:sz w:val="24"/>
        </w:rPr>
        <w:t xml:space="preserve">Securities Exchange Act of 1934 </w:t>
      </w:r>
    </w:p>
    <w:p>
      <w:pPr>
        <w:pStyle w:val="TextBody"/>
        <w:bidi w:val="0"/>
        <w:spacing w:before="0" w:after="0"/>
        <w:jc w:val="center"/>
        <w:rPr>
          <w:rFonts w:ascii="Times New Roman" w:hAnsi="Times New Roman"/>
          <w:b/>
          <w:sz w:val="24"/>
        </w:rPr>
      </w:pPr>
      <w:r>
        <w:rPr>
          <w:rFonts w:ascii="Times New Roman" w:hAnsi="Times New Roman"/>
          <w:b/>
          <w:sz w:val="24"/>
        </w:rPr>
        <w:t xml:space="preserve">(Amendment No. )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left"/>
        <w:rPr>
          <w:rFonts w:ascii="Times New Roman" w:hAnsi="Times New Roman"/>
          <w:sz w:val="20"/>
        </w:rPr>
      </w:pPr>
      <w:r>
        <w:rPr>
          <w:rFonts w:ascii="Times New Roman" w:hAnsi="Times New Roman"/>
          <w:sz w:val="20"/>
        </w:rPr>
        <w:t xml:space="preserve">Filed by the Registrant ☒ </w:t>
      </w:r>
    </w:p>
    <w:p>
      <w:pPr>
        <w:pStyle w:val="TextBody"/>
        <w:bidi w:val="0"/>
        <w:spacing w:before="240" w:after="0"/>
        <w:jc w:val="left"/>
        <w:rPr>
          <w:rFonts w:ascii="Times New Roman" w:hAnsi="Times New Roman"/>
          <w:sz w:val="20"/>
        </w:rPr>
      </w:pPr>
      <w:r>
        <w:rPr>
          <w:rFonts w:ascii="Times New Roman" w:hAnsi="Times New Roman"/>
          <w:sz w:val="20"/>
        </w:rPr>
        <w:t xml:space="preserve">Filed by a Party other than the Registrant ☐ </w:t>
      </w:r>
    </w:p>
    <w:p>
      <w:pPr>
        <w:pStyle w:val="TextBody"/>
        <w:bidi w:val="0"/>
        <w:spacing w:before="480" w:after="0"/>
        <w:jc w:val="left"/>
        <w:rPr>
          <w:rFonts w:ascii="Times New Roman" w:hAnsi="Times New Roman"/>
          <w:sz w:val="20"/>
        </w:rPr>
      </w:pPr>
      <w:r>
        <w:rPr>
          <w:rFonts w:ascii="Times New Roman" w:hAnsi="Times New Roman"/>
          <w:sz w:val="20"/>
        </w:rPr>
        <w:t xml:space="preserve">Check the appropriate box: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Preliminary Proxy Statement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w:t>
            </w:r>
          </w:p>
        </w:tc>
        <w:tc>
          <w:tcPr>
            <w:tcW w:w="9799"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Confidential, for Use of the Commission Only (as permitted by Rule 14a-6(e)(2))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Definitive Proxy Statement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Definitive Additional Materials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Soliciting Material under § 240.14a-12 </w:t>
            </w:r>
          </w:p>
        </w:tc>
      </w:tr>
    </w:tbl>
    <w:p>
      <w:pPr>
        <w:pStyle w:val="TextBody"/>
        <w:bidi w:val="0"/>
        <w:spacing w:before="240" w:after="0"/>
        <w:jc w:val="center"/>
        <w:rPr>
          <w:rFonts w:ascii="Times New Roman" w:hAnsi="Times New Roman"/>
          <w:b/>
          <w:sz w:val="36"/>
        </w:rPr>
      </w:pPr>
      <w:r>
        <w:rPr>
          <w:rFonts w:ascii="Times New Roman" w:hAnsi="Times New Roman"/>
          <w:b/>
          <w:sz w:val="36"/>
        </w:rPr>
        <w:t xml:space="preserve">BOWMAN CONSULTING GROUP LTD. </w:t>
      </w:r>
    </w:p>
    <w:p>
      <w:pPr>
        <w:pStyle w:val="TextBody"/>
        <w:bidi w:val="0"/>
        <w:spacing w:before="0" w:after="0"/>
        <w:jc w:val="center"/>
        <w:rPr>
          <w:rFonts w:ascii="Times New Roman" w:hAnsi="Times New Roman"/>
          <w:b/>
          <w:sz w:val="20"/>
        </w:rPr>
      </w:pPr>
      <w:r>
        <w:rPr>
          <w:rFonts w:ascii="Times New Roman" w:hAnsi="Times New Roman"/>
          <w:b/>
          <w:sz w:val="20"/>
        </w:rPr>
        <w:t xml:space="preserve">(Name of Registrant as Specified in its Charter) </w:t>
      </w:r>
    </w:p>
    <w:p>
      <w:pPr>
        <w:pStyle w:val="TextBody"/>
        <w:bidi w:val="0"/>
        <w:spacing w:before="240" w:after="0"/>
        <w:jc w:val="center"/>
        <w:rPr>
          <w:rFonts w:ascii="Times New Roman" w:hAnsi="Times New Roman"/>
          <w:b/>
          <w:sz w:val="20"/>
        </w:rPr>
      </w:pPr>
      <w:r>
        <w:rPr>
          <w:rFonts w:ascii="Times New Roman" w:hAnsi="Times New Roman"/>
          <w:b/>
          <w:sz w:val="20"/>
        </w:rPr>
        <w:t xml:space="preserve">(Name of Person(s) Filing Proxy Statement, if Other Than the Registrant) </w:t>
      </w:r>
    </w:p>
    <w:p>
      <w:pPr>
        <w:pStyle w:val="TextBody"/>
        <w:bidi w:val="0"/>
        <w:spacing w:before="240" w:after="0"/>
        <w:jc w:val="left"/>
        <w:rPr>
          <w:rFonts w:ascii="Times New Roman" w:hAnsi="Times New Roman"/>
          <w:sz w:val="20"/>
        </w:rPr>
      </w:pPr>
      <w:r>
        <w:rPr>
          <w:rFonts w:ascii="Times New Roman" w:hAnsi="Times New Roman"/>
          <w:sz w:val="20"/>
        </w:rPr>
        <w:t xml:space="preserve">Payment of Filing Fee (Check all boxes that apply):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No fee required.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Fee paid previously with preliminary materials.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Fee computed on table in exhibit required by Item 25(b) per Exchange Act Rules 14a-6(i)(1) and 0-11. </w:t>
            </w:r>
          </w:p>
        </w:tc>
      </w:tr>
    </w:tbl>
    <w:p>
      <w:pPr>
        <w:pStyle w:val="TextBody"/>
        <w:bidi w:val="0"/>
        <w:spacing w:before="0" w:after="0"/>
        <w:jc w:val="left"/>
        <w:rPr/>
      </w:pPr>
      <w:r>
        <w:rPr/>
        <w:t> </w:t>
      </w:r>
    </w:p>
    <w:p>
      <w:pPr>
        <w:pStyle w:val="TextBody"/>
        <w:bidi w:val="0"/>
        <w:spacing w:lineRule="atLeast" w:line="142" w:before="0" w:after="0"/>
        <w:jc w:val="left"/>
        <w:rPr>
          <w:bdr w:val="single" w:sz="2" w:space="1" w:color="000000"/>
        </w:rPr>
      </w:pPr>
      <w:r>
        <w:rPr>
          <w:bdr w:val="single" w:sz="2" w:space="1" w:color="000000"/>
        </w:rPr>
        <w:t xml:space="preserve">  </w:t>
      </w:r>
    </w:p>
    <w:p>
      <w:pPr>
        <w:pStyle w:val="TextBody"/>
        <w:bidi w:val="0"/>
        <w:spacing w:lineRule="atLeast" w:line="142" w:before="0" w:after="40"/>
        <w:jc w:val="left"/>
        <w:rPr>
          <w:bdr w:val="single" w:sz="2" w:space="1" w:color="000000"/>
        </w:rPr>
      </w:pPr>
      <w:r>
        <w:rPr>
          <w:bdr w:val="single" w:sz="2" w:space="1" w:color="000000"/>
        </w:rPr>
        <w:t>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i/>
          <w:sz w:val="20"/>
        </w:rPr>
      </w:pPr>
      <w:r>
        <w:rPr>
          <w:rFonts w:ascii="Times New Roman" w:hAnsi="Times New Roman"/>
          <w:i/>
          <w:sz w:val="20"/>
        </w:rPr>
        <w:t xml:space="preserve">The following materials were sent to employees of Bowman Consulting Group Ltd. on September 14, 2026: </w:t>
      </w:r>
    </w:p>
    <w:p>
      <w:pPr>
        <w:pStyle w:val="TextBody"/>
        <w:bidi w:val="0"/>
        <w:spacing w:before="0" w:after="0"/>
        <w:jc w:val="left"/>
        <w:rPr/>
      </w:pPr>
      <w:r>
        <w:rPr/>
        <w:t> </w:t>
      </w:r>
    </w:p>
    <w:p>
      <w:pPr>
        <w:pStyle w:val="TextBody"/>
        <w:bidi w:val="0"/>
        <w:spacing w:before="0" w:after="0"/>
        <w:jc w:val="center"/>
        <w:rPr/>
      </w:pPr>
      <w:r>
        <w:rPr/>
        <w:drawing>
          <wp:inline distT="0" distB="0" distL="0" distR="0">
            <wp:extent cx="7172960" cy="930973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7172960" cy="9309735"/>
                    </a:xfrm>
                    <a:prstGeom prst="rect">
                      <a:avLst/>
                    </a:prstGeom>
                  </pic:spPr>
                </pic:pic>
              </a:graphicData>
            </a:graphic>
          </wp:inline>
        </w:drawing>
      </w:r>
      <w:r>
        <w:rPr/>
        <w:t xml:space="preserve"> </w:t>
      </w:r>
    </w:p>
    <w:p>
      <w:pPr>
        <w:pStyle w:val="TextBody"/>
        <w:bidi w:val="0"/>
        <w:jc w:val="left"/>
        <w:rPr>
          <w:rFonts w:ascii="Times New Roman" w:hAnsi="Times New Roman"/>
          <w:color w:val="FFFFFF"/>
          <w:sz w:val="2"/>
        </w:rPr>
      </w:pPr>
      <w:r>
        <w:rPr>
          <w:rFonts w:ascii="Times New Roman" w:hAnsi="Times New Roman"/>
          <w:color w:val="FFFFFF"/>
          <w:sz w:val="2"/>
        </w:rPr>
        <w:t xml:space="preserve">Building Stronger AT A G L A N C E Businesses Across $6B+ IN ASSETS UNDER Essential Infrastructure MANAGEMENT 15,000+ EMPLOYEES ACROSS PORTFOLIO Bernhard is a private markets investment firm focused on building 80+ market-leading infrastructure services and infrastructure asset platforms across essential sectors, leveraging deep industry TRANSACTIONS COMPLETED insight and decades of operational experience to support long-term growth and value creation. Two complementary strategies: Infrastructure Our Approach Services + Infrastructure Assets Disciplined Focus We invest in essential infrastructure sectors we know well, with durable demand and long-term growth potential. Operational Experience Our team works alongside management teams, bringing industry knowledge, relationships and resources to support growth. Long-Term Partnership We believe strong businesses are built through collaboration, while preserving the people, culture and capabilities that make each company successful. More Than Capital BCP provides strategic insight, operational expertise and resources designed to help our portfolio companies reach their full potential. ANNOUNCED, NOT YET CLOSED ANNOUNCED, NOT YET CLOSED EX ITED P O R T FO L I O C O M PA N I E S EX I T P E N D I N G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b/>
          <w:sz w:val="20"/>
        </w:rPr>
        <w:t>Important Information and Where to Find It</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The merger transaction described in this communication (the “Merger”) will be submitted to the Company’s stockholders for their consideration and approval at a special meeting. In connection with the Merger, Bowman Consulting Group Ltd. (the “Company”) intends to file with the Securities and Exchange Commission (the “SEC”) a preliminary proxy statement on Schedule 14A. Once the SEC completes its review of the preliminary proxy statement, a definitive proxy statement and a form of proxy card will be filed with the SEC and mailed or otherwise furnished to the Company’s stockholders. BEFORE MAKING ANY VOTING DECISION, THE COMPANY’S STOCKHOLDERS ARE URGED TO READ THE PROXY STATEMENT IN ITS ENTIRETY, WHEN IT BECOMES AVAILABLE, AND ANY OTHER DOCUMENTS TO BE FILED WITH THE SEC IN CONNECTION WITH THE MERGER OR INCORPORATED BY REFERENCE IN THE PROXY STATEMENT (INCLUDING ANY AMENDMENTS OR SUPPLEMENTS TO THESE DOCUMENTS), IF ANY, BECAUSE THEY WILL CONTAIN IMPORTANT INFORMATION ABOUT THE MERGER AND THE PARTIES TO THE MERGER. This communication is not a substitute for the proxy statement or any other document that may be filed by the Company with the SEC or sent to its stockholders in connection with the Merger. </w:t>
      </w:r>
    </w:p>
    <w:p>
      <w:pPr>
        <w:pStyle w:val="TextBody"/>
        <w:bidi w:val="0"/>
        <w:spacing w:before="240" w:after="0"/>
        <w:jc w:val="left"/>
        <w:rPr>
          <w:rFonts w:ascii="Times New Roman" w:hAnsi="Times New Roman"/>
          <w:sz w:val="20"/>
        </w:rPr>
      </w:pPr>
      <w:r>
        <w:rPr>
          <w:rFonts w:ascii="Times New Roman" w:hAnsi="Times New Roman"/>
          <w:sz w:val="20"/>
        </w:rPr>
        <w:t xml:space="preserve">The Company’s investors and stockholders may obtain a free copy of the proxy statement (when available) and other documents filed by the Company with the SEC at the SEC’s website at www.sec.gov. In addition, the Company’s investors and stockholders may obtain a free copy of the documents filed with the SEC by the Company from the Company’s website at investors.bowman.com or by directing a request to the Company by e-mail to ir@bowman.com, or by telephone to (703) 464-1000. </w:t>
      </w:r>
    </w:p>
    <w:p>
      <w:pPr>
        <w:pStyle w:val="TextBody"/>
        <w:bidi w:val="0"/>
        <w:spacing w:before="360" w:after="0"/>
        <w:jc w:val="left"/>
        <w:rPr>
          <w:rFonts w:ascii="Times New Roman" w:hAnsi="Times New Roman"/>
          <w:sz w:val="20"/>
        </w:rPr>
      </w:pPr>
      <w:r>
        <w:rPr>
          <w:rFonts w:ascii="Times New Roman" w:hAnsi="Times New Roman"/>
          <w:b/>
          <w:sz w:val="20"/>
        </w:rPr>
        <w:t>Participants in the Solicitation</w:t>
      </w:r>
      <w:r>
        <w:rPr>
          <w:rFonts w:ascii="Times New Roman" w:hAnsi="Times New Roman"/>
          <w:sz w:val="20"/>
        </w:rPr>
        <w:t xml:space="preserve"> </w:t>
      </w:r>
    </w:p>
    <w:p>
      <w:pPr>
        <w:pStyle w:val="TextBody"/>
        <w:bidi w:val="0"/>
        <w:spacing w:before="120" w:after="0"/>
        <w:jc w:val="left"/>
        <w:rPr/>
      </w:pPr>
      <w:r>
        <w:rPr>
          <w:rFonts w:ascii="Times New Roman" w:hAnsi="Times New Roman"/>
          <w:sz w:val="20"/>
        </w:rPr>
        <w:t xml:space="preserve">The Company and certain of its directors, executive officers and other members of management and employees may, under the rules of the SEC, be deemed to be participants in the solicitation of proxies from the Company’s stockholders in connection with the Merger and other matters to be voted on at the special meeting of the stockholders. Information regarding the Company’s directors and executive officers, including a description of their direct or indirect interests, by security holdings or otherwise, is contained in the Company’s </w:t>
      </w:r>
      <w:hyperlink r:id="rId3">
        <w:r>
          <w:rPr>
            <w:rStyle w:val="InternetLink"/>
            <w:rFonts w:ascii="Times New Roman" w:hAnsi="Times New Roman"/>
            <w:sz w:val="20"/>
          </w:rPr>
          <w:t>proxy statement on Schedule 14A</w:t>
        </w:r>
      </w:hyperlink>
      <w:r>
        <w:rPr>
          <w:rFonts w:ascii="Times New Roman" w:hAnsi="Times New Roman"/>
          <w:sz w:val="20"/>
        </w:rPr>
        <w:t xml:space="preserve"> for the Company’s 2026 Annual Meeting of Stockholders, which was filed with the SEC on April 28, 2026 (the “2026 Annual Meeting Proxy Statement”), including under the headings “Executive and Director Compensation,” “Security Ownership of Certain Beneficial Owners and Management” and “Certain Relationships and Related Transactions.” To the extent holdings of the Company’s securities by such directors or executive officers (or the identity of such directors or executive officers) change from the amounts set forth in the 2026 Annual Meeting Proxy Statement, such information has been or will be reflected on the Initial Statements of Beneficial Ownership on Form 3 or Statements of Change in Ownership on Form 4 filed with the SEC. Additional information regarding the interests of the Company’s directors and executive officers in the Merger will be included in the proxy statement relating to the Merger when it is filed with the SEC. You may obtain free copies of these documents using the sources indicated above. </w:t>
      </w:r>
    </w:p>
    <w:p>
      <w:pPr>
        <w:pStyle w:val="TextBody"/>
        <w:bidi w:val="0"/>
        <w:spacing w:before="360" w:after="0"/>
        <w:jc w:val="left"/>
        <w:rPr>
          <w:rFonts w:ascii="Times New Roman" w:hAnsi="Times New Roman"/>
          <w:sz w:val="20"/>
        </w:rPr>
      </w:pPr>
      <w:r>
        <w:rPr>
          <w:rFonts w:ascii="Times New Roman" w:hAnsi="Times New Roman"/>
          <w:b/>
          <w:sz w:val="20"/>
        </w:rPr>
        <w:t>Cautionary Statement Regarding Forward-Looking Statements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This communication contains “forward-looking statements” within the meaning of Section 27A of the Securities Act of 1933, as amended, and Section 21E of the Securities Exchange Act of 1934, as amended. All statements contained in this communication that do not relate to matters of historical fact should be considered forward-looking statements, including, without limitation, statements regarding the Merger, including the expected timing of the closing of the Merger, the ability of the parties to complete the Merger considering the various closing conditions, the expected impacts and benefits of the Merger, the plans, strategies and prospects, both business and financial, of the Company, and any assumptions underlying any of the foregoing.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In some cases, you can identify forward-looking statements by terminology such as “aim,” “anticipate,” “assume,” “believe,” “contemplate,” “continue,” “could,” “due,” “estimate,” “expect,” “goal,” “intend,” “may,” “objective,” “plan,” “predict,” “potential,” “positioned,” “seek,” “should,” “target,” “will,” “would” and other similar expressions that are predictions of or indicate future events and future trends, or the negative of these terms or other comparable terminology, although not all forward-looking statements contain these words. Forward-looking statements are based on the Company’s current expectations and are not guarantees of future performance. These forward-looking statements are subject to known and unknown risks and uncertainties that may cause actual results to differ materially from the Company’s current expectations. </w:t>
      </w:r>
    </w:p>
    <w:p>
      <w:pPr>
        <w:pStyle w:val="TextBody"/>
        <w:bidi w:val="0"/>
        <w:spacing w:before="240" w:after="0"/>
        <w:jc w:val="left"/>
        <w:rPr>
          <w:rFonts w:ascii="Times New Roman" w:hAnsi="Times New Roman"/>
          <w:sz w:val="20"/>
        </w:rPr>
      </w:pPr>
      <w:r>
        <w:rPr>
          <w:rFonts w:ascii="Times New Roman" w:hAnsi="Times New Roman"/>
          <w:sz w:val="20"/>
        </w:rPr>
        <w:t xml:space="preserve">These risks and uncertainties include risks and developments related to, among other things, (i) the completion of the proposed Merger on the anticipated terms and timing, or at all, including the parties’ ability to obtain required stockholder approval, regulatory approvals and satisfy the other conditions to the completion of the Merger, or the failure to satisfy such conditions, (ii) the effect of the announcement or pendency of the Merger on the Company’s business, operating results, financial performance, ability to retain and hire key personnel, and relationships with customers, suppliers, competitors and others, (iii) the effect of the restrictions imposed by the definitive merger agreement (the “Merger Agreement”) during the pendency of the Merger, which may (x) disrupt the Company’s current plans and business operations, (y) impact the Company’s ability to pursue certain business opportunities or strategic transactions or (z) divert management’s attention from ongoing business operations, (iv) the availability of financing for the Merger, which is not a condition to closing of the Merger, (v) the possibility that competing offers may be made, and the effect of such competing offers on the Merger and the parties’ respective rights under the Merger Agreement, (vi) the occurrence of any event, change or other circumstances that could give rise to the termination of the Merger Agreement, (vii) the fact that the Company may be required to pay a termination fee to Bernhard if the Merger Agreement is terminated in certain circumstances, (viii) litigation being instituted against the Company, Bernhard or other parties, including their respective directors, managers or officers, in connection with the Merger, which may have an unfavorable outcome, (ix) the uncertainty of the outcome of any such litigation and its effects on the parties to the Merger Agreement, (x) changes in laws, regulations, or policies, (xi) general economic conditions, nationally and globally, and their effect on the market for the Company’s services, (xii) competitive pressures and trends in the Company’s industry and its ability to successfully compete with its competitors, (xiii) the effect on the Company’s stock price if the Merger is not completed, which may decline significantly following a termination of the Merger Agreement, (xiv) potential business uncertainty during the pendency of the Merger, including changes to existing business relationships; (xv) the significant costs, fees and expenses the Company may incur in connection with the Merger, and (xvi) the effects of unknown liabilities related to the Merger on the Company. </w:t>
      </w:r>
    </w:p>
    <w:p>
      <w:pPr>
        <w:pStyle w:val="TextBody"/>
        <w:bidi w:val="0"/>
        <w:spacing w:before="240" w:after="0"/>
        <w:jc w:val="left"/>
        <w:rPr>
          <w:rFonts w:ascii="Times New Roman" w:hAnsi="Times New Roman"/>
          <w:sz w:val="20"/>
        </w:rPr>
      </w:pPr>
      <w:r>
        <w:rPr>
          <w:rFonts w:ascii="Times New Roman" w:hAnsi="Times New Roman"/>
          <w:sz w:val="20"/>
        </w:rPr>
        <w:t xml:space="preserve">For additional information about other factors that could cause actual results to differ materially from those described in the forward-looking statements, please refer to the Company’s periodic reports and other filings with the SEC, including risks described under the caption “Risk Factors” in the Company’s Annual Report on </w:t>
      </w:r>
      <w:r>
        <w:rPr>
          <w:rFonts w:ascii="Times New Roman" w:hAnsi="Times New Roman"/>
          <w:sz w:val="20"/>
          <w:u w:val="single"/>
        </w:rPr>
        <w:t>Form 10-K for the fiscal year ended December 31, 2025</w:t>
      </w:r>
      <w:r>
        <w:rPr>
          <w:rFonts w:ascii="Times New Roman" w:hAnsi="Times New Roman"/>
          <w:sz w:val="20"/>
        </w:rPr>
        <w:t xml:space="preserve">, and the Company’s Quarterly Report on </w:t>
      </w:r>
      <w:r>
        <w:rPr>
          <w:rFonts w:ascii="Times New Roman" w:hAnsi="Times New Roman"/>
          <w:sz w:val="20"/>
          <w:u w:val="single"/>
        </w:rPr>
        <w:t>Form 10-Q for the fiscal quarter ended June 30, 2026</w:t>
      </w:r>
      <w:r>
        <w:rPr>
          <w:rFonts w:ascii="Times New Roman" w:hAnsi="Times New Roman"/>
          <w:sz w:val="20"/>
        </w:rPr>
        <w:t xml:space="preserve">, each filed with the SEC, and other filings with the SEC, which are accessible on the SEC’s website at www.sec.gov and the Company’s Investor Relations page at investors.bowman.com. The forward-looking statements included in this communication are made only as of the date hereof, and the Company disclaims any obligation to update the forward-looking statements in the future, except as required by applicable law. Forward-looking statements should be considered in light of these risks and uncertainties. Investors and others are cautioned not to place undue reliance on forward-looking statements. </w:t>
      </w:r>
    </w:p>
    <w:p>
      <w:pPr>
        <w:pStyle w:val="TextBody"/>
        <w:bidi w:val="0"/>
        <w:spacing w:before="360" w:after="0"/>
        <w:jc w:val="left"/>
        <w:rPr>
          <w:rFonts w:ascii="Times New Roman" w:hAnsi="Times New Roman"/>
          <w:sz w:val="20"/>
        </w:rPr>
      </w:pPr>
      <w:r>
        <w:rPr>
          <w:rFonts w:ascii="Times New Roman" w:hAnsi="Times New Roman"/>
          <w:b/>
          <w:sz w:val="20"/>
        </w:rPr>
        <w:t>No Offer or Solicitation</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This communication is for informational purposes only and is not intended to, and does not, constitute an offer to sell or the solicitation of an offer to buy any securities or a solicitation of any vote or approval, nor shall there be any issuance or sale of securities in any jurisdiction in which such offer, solicitation or sale would be unlawful prior to registration or qualification under the securities laws of any such jurisdiction.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hyperlink" Target="http://www.sec.gov/Archives/edgar/data/../../../ix?doc=/Archives/edgar/data/0001847590/000119312526186892/d944193ddef14a.htm" TargetMode="External"/><Relationship Id="rId4" Type="http://schemas.openxmlformats.org/officeDocument/2006/relationships/fontTable" Target="fontTable.xml"/><Relationship Id="rId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5</Pages>
  <Words>1735</Words>
  <Characters>9730</Characters>
  <CharactersWithSpaces>11478</CharactersWithSpaces>
  <Paragraphs>64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DEFA14A</dc:title>
</cp:coreProperties>
</file>