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755_defa14a.htm"/>
      <w:bookmarkStart w:id="1" w:name="ksef20083755_defa14a"/>
      <w:bookmarkStart w:id="2" w:name="ef20083755_defa14a.htm"/>
      <w:bookmarkStart w:id="3" w:name="ksef20083755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14a-101)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25df38ea7e6d434b92adcfdc910b1607"/>
      <w:bookmarkStart w:id="5" w:name="z25df38ea7e6d434b92adcfdc910b1607"/>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674403a5b0404eb68c20c9e5035c9f8a"/>
      <w:bookmarkStart w:id="7" w:name="z674403a5b0404eb68c20c9e5035c9f8a"/>
      <w:bookmarkEnd w:id="7"/>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1c7165d0d2614037a7ae95279aeb5733"/>
      <w:bookmarkStart w:id="9" w:name="z1c7165d0d2614037a7ae95279aeb5733"/>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afbd74aae8204114b957f941c9eec1c2"/>
      <w:bookmarkStart w:id="11" w:name="zafbd74aae8204114b957f941c9eec1c2"/>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452f4b176cc048b5954f4abec70be6b6"/>
      <w:bookmarkStart w:id="13" w:name="z452f4b176cc048b5954f4abec70be6b6"/>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Soliciting Material under § 240.14a-12</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BOWMAN CONSULTING GROUP LTD.</w:t>
      </w:r>
    </w:p>
    <w:p>
      <w:pPr>
        <w:pStyle w:val="TextBody"/>
        <w:bidi w:val="0"/>
        <w:spacing w:before="0" w:after="0"/>
        <w:jc w:val="left"/>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41b6cea032c04310b04ad1011b68442b"/>
      <w:bookmarkStart w:id="15" w:name="z41b6cea032c04310b04ad1011b68442b"/>
      <w:bookmarkEnd w:id="15"/>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left"/>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3abec2c92a69404696d6405729fa14ba"/>
      <w:bookmarkStart w:id="17" w:name="z3abec2c92a69404696d6405729fa14ba"/>
      <w:bookmarkEnd w:id="17"/>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76924a45a5364ccfaebaf6aa8de64f40"/>
      <w:bookmarkStart w:id="19" w:name="z76924a45a5364ccfaebaf6aa8de64f40"/>
      <w:bookmarkEnd w:id="19"/>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All-Employee Email</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email was sent to employees of Bowman Consulting Group Ltd. on October 14,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wanted to share another update on our pending transaction with Bernhard Capital Partners.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Earlier this week, Bowman filed its definitive proxy statement with the SEC, marking another important step toward completing the transaction. </w:t>
      </w:r>
      <w:r>
        <w:rPr>
          <w:rFonts w:ascii="Times New Roman" w:hAnsi="Times New Roman"/>
          <w:b/>
          <w:color w:val="000000"/>
          <w:sz w:val="20"/>
          <w:u w:val="single"/>
        </w:rPr>
        <w:t>The Special Meeting of Stockholders has now been scheduled for November 4, 2026, at 9:30 a.m. 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coming weeks, Bowman stockholders as of October 1 will begin receiving the definitive proxy statement and related materials, including additional information about the Special Meeting and instructions on how to vote.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continue to expect the transaction to close in the fourth quarter of 2026, subject to stockholder approval and the satisfaction or waiver of the remaining closing 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You can find additional FAQs on our Intranet [here]. If you are a Bowman stockholder and have questions about the Special Meeting, proxy materials or voting, our proxy solicitor, MacKenzie Partners, is available to assist at 1-800-322-2885 or </w:t>
      </w:r>
      <w:r>
        <w:rPr>
          <w:rFonts w:ascii="Times New Roman" w:hAnsi="Times New Roman"/>
          <w:color w:val="000000"/>
          <w:sz w:val="20"/>
          <w:u w:val="single"/>
        </w:rPr>
        <w:t>proxy@mackenziepartners.com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merger transaction described in this communication (the “Merger”) will be submitted to the Company’s stockholders for their consideration and approval at a virtual special meeting of stockholders to be held on November 4, 2026. In connection with the Merger, Bowman Consulting Group Ltd. (the “Company”) filed with the Securities and Exchange Commission (the “SEC”) a definitive proxy statement on Schedule 14A on October 5, 2026 (the “Proxy Statement”). The Proxy Statement and a form of proxy card were mailed or otherwise furnished to the Company’s stockholders on or about October 5, 2026. BEFORE MAKING ANY VOTING DECISION, THE COMPANY’S STOCKHOLDERS ARE URGED TO READ THE PROXY STATEMENT IN ITS ENTIRETY, AND ANY OTHER DOCUMENTS TO BE FILED WITH THE SEC IN CONNECTION WITH THE MERGER OR INCORPORATED BY REFERENCE IN THE PROXY STATEMENT (INCLUDING ANY AMENDMENTS OR SUPPLEMENTS TO THESE DOCUMENTS), IF ANY, BECAUSE THEY CONTAIN OR WILL CONTAIN IMPORTANT INFORMATION ABOUT THE MERGER AND THE PARTIES TO THE MERGER. This communication is not a substitute for the Proxy Statement or any other document that may be filed by the Company with the SEC or sent to its stockholders in connection with the Merger.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investors and stockholders may obtain a free copy of the Proxy Statement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or by contacting the Company’s proxy solicitor, MacKenzie Partners, Inc., by telephone at 1-800-322-2885 or by e-mail to proxy@mackenziepartners.com.</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1 of 3</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All-Employee Email</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2">
        <w:r>
          <w:rPr>
            <w:rStyle w:val="InternetLink"/>
          </w:rPr>
          <w:t>proxy statement on Schedule 14A</w:t>
        </w:r>
      </w:hyperlink>
      <w:r>
        <w:rPr>
          <w:rFonts w:ascii="Times New Roman" w:hAnsi="Times New Roman"/>
          <w:color w:val="000000"/>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is included in the Proxy Statement, including under the heading “</w:t>
      </w:r>
      <w:r>
        <w:rPr>
          <w:rFonts w:ascii="Times New Roman" w:hAnsi="Times New Roman"/>
          <w:i/>
          <w:color w:val="000000"/>
          <w:sz w:val="20"/>
        </w:rPr>
        <w:t>The Merger—Interests of the Company’s Non-Employee Directors and Executive Officers in the Merger</w:t>
      </w:r>
      <w:r>
        <w:rPr>
          <w:rFonts w:ascii="Times New Roman" w:hAnsi="Times New Roman"/>
          <w:color w:val="000000"/>
          <w:sz w:val="20"/>
        </w:rPr>
        <w:t>.” You may obtain free copies of these documents using the sources indicated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2 of 3</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Definitive Proxy All-Employee Email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an affiliate of Bernhard Capital Partners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color w:val="000000"/>
          <w:sz w:val="20"/>
          <w:u w:val="single"/>
        </w:rPr>
        <w:t>Form 10-K for the fiscal year ended December 31, 2025,</w:t>
      </w:r>
      <w:r>
        <w:rPr>
          <w:rFonts w:ascii="Times New Roman" w:hAnsi="Times New Roman"/>
          <w:color w:val="000000"/>
          <w:sz w:val="20"/>
        </w:rPr>
        <w:t xml:space="preserve"> and the Company’s Quarterly Report on </w:t>
      </w:r>
      <w:r>
        <w:rPr>
          <w:rFonts w:ascii="Times New Roman" w:hAnsi="Times New Roman"/>
          <w:color w:val="000000"/>
          <w:sz w:val="20"/>
          <w:u w:val="single"/>
        </w:rPr>
        <w:t>Form 10-Q for the fiscal quarter ended June 30, 2026</w:t>
      </w:r>
      <w:r>
        <w:rPr>
          <w:rFonts w:ascii="Times New Roman" w:hAnsi="Times New Roman"/>
          <w:color w:val="000000"/>
          <w:sz w:val="20"/>
        </w:rPr>
        <w:t>, each filed with the SEC, the Proxy Statement, including under the caption “Cautionary Statement Regarding Forward-Looking Statements,”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b/>
          <w:i w:val="false"/>
          <w:caps w:val="false"/>
          <w:smallCaps w:val="false"/>
          <w:color w:val="000000"/>
          <w:sz w:val="16"/>
        </w:rPr>
        <w:t>Page 3 of 3</w:t>
      </w:r>
      <w:r>
        <w:rPr>
          <w:rFonts w:ascii="Times New Roman" w:hAnsi="Times New Roman"/>
          <w:color w:val="000000"/>
          <w:sz w:val="20"/>
        </w:rPr>
        <w:t xml:space="preserve">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47590/000119312526186892/d944193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1770</Words>
  <Characters>9951</Characters>
  <CharactersWithSpaces>11684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