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24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001-40371</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BOWMAN CONSULTING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tbl>
      <w:tblPr>
        <w:tblW w:w="4604" w:type="dxa"/>
        <w:jc w:val="left"/>
        <w:tblInd w:w="0" w:type="dxa"/>
        <w:tblLayout w:type="fixed"/>
        <w:tblCellMar>
          <w:top w:w="28" w:type="dxa"/>
          <w:left w:w="28" w:type="dxa"/>
          <w:bottom w:w="28" w:type="dxa"/>
          <w:right w:w="28" w:type="dxa"/>
        </w:tblCellMar>
      </w:tblPr>
      <w:tblGrid>
        <w:gridCol w:w="1214"/>
        <w:gridCol w:w="1066"/>
        <w:gridCol w:w="1080"/>
        <w:gridCol w:w="363"/>
        <w:gridCol w:w="363"/>
        <w:gridCol w:w="518"/>
      </w:tblGrid>
      <w:tr>
        <w:trPr/>
        <w:tc>
          <w:tcPr>
            <w:tcW w:w="1214"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54-1762351</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 or organization)</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 xml:space="preserve">12355 Sunrise Valley Drive, Suite 520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Reston, Virginia</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20191</w:t>
            </w:r>
          </w:p>
        </w:tc>
      </w:tr>
      <w:tr>
        <w:trPr/>
        <w:tc>
          <w:tcPr>
            <w:tcW w:w="33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12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(703) 464-1000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w:t>
      </w:r>
    </w:p>
    <w:p>
      <w:pPr>
        <w:pStyle w:val="TextBody"/>
        <w:bidi w:val="0"/>
        <w:spacing w:lineRule="auto" w:line="288" w:before="12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7207" w:type="dxa"/>
        <w:jc w:val="left"/>
        <w:tblInd w:w="0" w:type="dxa"/>
        <w:tblLayout w:type="fixed"/>
        <w:tblCellMar>
          <w:top w:w="28" w:type="dxa"/>
          <w:left w:w="28" w:type="dxa"/>
          <w:bottom w:w="28" w:type="dxa"/>
          <w:right w:w="28" w:type="dxa"/>
        </w:tblCellMar>
      </w:tblPr>
      <w:tblGrid>
        <w:gridCol w:w="873"/>
        <w:gridCol w:w="766"/>
        <w:gridCol w:w="776"/>
        <w:gridCol w:w="109"/>
        <w:gridCol w:w="109"/>
        <w:gridCol w:w="109"/>
        <w:gridCol w:w="274"/>
        <w:gridCol w:w="274"/>
        <w:gridCol w:w="276"/>
        <w:gridCol w:w="109"/>
        <w:gridCol w:w="109"/>
        <w:gridCol w:w="109"/>
        <w:gridCol w:w="970"/>
        <w:gridCol w:w="970"/>
        <w:gridCol w:w="1374"/>
      </w:tblGrid>
      <w:tr>
        <w:trPr/>
        <w:tc>
          <w:tcPr>
            <w:tcW w:w="87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1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BWMN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Global Market</w:t>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240" w:after="283"/>
        <w:ind w:left="0" w:right="0" w:firstLine="720"/>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240" w:after="283"/>
        <w:ind w:left="0" w:right="0" w:firstLine="72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rFonts w:ascii="Wingdings;sans-serif" w:hAnsi="Wingdings;sans-serif"/>
          <w:b w:val="false"/>
          <w:color w:val="000000"/>
          <w:sz w:val="18"/>
        </w:rPr>
        <w:t>x</w:t>
      </w:r>
    </w:p>
    <w:p>
      <w:pPr>
        <w:pStyle w:val="TextBody"/>
        <w:bidi w:val="0"/>
        <w:spacing w:lineRule="auto" w:line="288" w:before="240" w:after="283"/>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of August 5, 2026, the registrant had 17,335,512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8"/>
        <w:gridCol w:w="261"/>
        <w:gridCol w:w="263"/>
        <w:gridCol w:w="2954"/>
        <w:gridCol w:w="2954"/>
        <w:gridCol w:w="2959"/>
        <w:gridCol w:w="149"/>
        <w:gridCol w:w="149"/>
        <w:gridCol w:w="218"/>
      </w:tblGrid>
      <w:tr>
        <w:trPr/>
        <w:tc>
          <w:tcPr>
            <w:tcW w:w="29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954"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82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0">
              <w:r>
                <w:rPr>
                  <w:rStyle w:val="InternetLink"/>
                  <w:rFonts w:ascii="Times New Roman;serif" w:hAnsi="Times New Roman;serif"/>
                  <w:b/>
                  <w:strike w:val="false"/>
                  <w:dstrike w:val="false"/>
                  <w:color w:val="000000"/>
                  <w:sz w:val="20"/>
                  <w:u w:val="none"/>
                  <w:effect w:val="none"/>
                </w:rPr>
                <w:t>PART I.</w:t>
              </w:r>
            </w:hyperlink>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0">
              <w:r>
                <w:rPr>
                  <w:rStyle w:val="InternetLink"/>
                  <w:rFonts w:ascii="Times New Roman;serif" w:hAnsi="Times New Roman;serif"/>
                  <w:b w:val="false"/>
                  <w:color w:val="0000FF"/>
                  <w:sz w:val="20"/>
                  <w:u w:val="single"/>
                </w:rPr>
                <w:t>FINANCIAL INFORMATION</w:t>
              </w:r>
            </w:hyperlink>
          </w:p>
        </w:tc>
        <w:tc>
          <w:tcPr>
            <w:tcW w:w="5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right"/>
              <w:rPr/>
            </w:pPr>
            <w:hyperlink w:anchor="i6e2575bd3a904a6aa540b77a5858bae0_10">
              <w:r>
                <w:rPr>
                  <w:rStyle w:val="InternetLink"/>
                  <w:rFonts w:ascii="Times New Roman;serif" w:hAnsi="Times New Roman;serif"/>
                  <w:b w:val="false"/>
                  <w:strike w:val="false"/>
                  <w:dstrike w:val="false"/>
                  <w:color w:val="000000"/>
                  <w:sz w:val="20"/>
                  <w:u w:val="none"/>
                  <w:effect w:val="none"/>
                </w:rPr>
                <w:t>1</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3">
              <w:r>
                <w:rPr>
                  <w:rStyle w:val="InternetLink"/>
                  <w:rFonts w:ascii="Times New Roman;serif" w:hAnsi="Times New Roman;serif"/>
                  <w:b w:val="false"/>
                  <w:strike w:val="false"/>
                  <w:dstrike w:val="false"/>
                  <w:color w:val="000000"/>
                  <w:sz w:val="20"/>
                  <w:u w:val="none"/>
                  <w:effect w:val="none"/>
                </w:rPr>
                <w:t>Item 1.</w:t>
              </w:r>
            </w:hyperlink>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3">
              <w:r>
                <w:rPr>
                  <w:rStyle w:val="InternetLink"/>
                  <w:rFonts w:ascii="Times New Roman;serif" w:hAnsi="Times New Roman;serif"/>
                  <w:b w:val="false"/>
                  <w:color w:val="0000FF"/>
                  <w:sz w:val="20"/>
                  <w:u w:val="single"/>
                </w:rPr>
                <w:t xml:space="preserve">Financial Statements (Unaudited) </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3">
              <w:r>
                <w:rPr>
                  <w:rStyle w:val="InternetLink"/>
                  <w:rFonts w:ascii="Times New Roman;serif" w:hAnsi="Times New Roman;serif"/>
                  <w:b w:val="false"/>
                  <w:strike w:val="false"/>
                  <w:dstrike w:val="false"/>
                  <w:color w:val="000000"/>
                  <w:sz w:val="20"/>
                  <w:u w:val="none"/>
                  <w:effect w:val="none"/>
                </w:rPr>
                <w:t>1</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6">
              <w:r>
                <w:rPr>
                  <w:rStyle w:val="InternetLink"/>
                  <w:rFonts w:ascii="Times New Roman;serif" w:hAnsi="Times New Roman;serif"/>
                  <w:b w:val="false"/>
                  <w:color w:val="000080"/>
                  <w:sz w:val="20"/>
                  <w:u w:val="single"/>
                </w:rPr>
                <w:t xml:space="preserve">Condensed Consolidated Balance Sheets as of </w:t>
              </w:r>
            </w:hyperlink>
            <w:hyperlink w:anchor="i6e2575bd3a904a6aa540b77a5858bae0_16">
              <w:r>
                <w:rPr>
                  <w:rStyle w:val="InternetLink"/>
                  <w:rFonts w:ascii="Times New Roman;serif" w:hAnsi="Times New Roman;serif"/>
                  <w:b w:val="false"/>
                  <w:color w:val="000080"/>
                  <w:sz w:val="20"/>
                  <w:u w:val="single"/>
                </w:rPr>
                <w:t>June</w:t>
              </w:r>
            </w:hyperlink>
            <w:hyperlink w:anchor="i6e2575bd3a904a6aa540b77a5858bae0_16">
              <w:r>
                <w:rPr>
                  <w:rStyle w:val="InternetLink"/>
                  <w:rFonts w:ascii="Times New Roman;serif" w:hAnsi="Times New Roman;serif"/>
                  <w:b w:val="false"/>
                  <w:color w:val="000080"/>
                  <w:sz w:val="20"/>
                  <w:u w:val="single"/>
                </w:rPr>
                <w:t xml:space="preserve"> </w:t>
              </w:r>
            </w:hyperlink>
            <w:hyperlink w:anchor="i6e2575bd3a904a6aa540b77a5858bae0_16">
              <w:r>
                <w:rPr>
                  <w:rStyle w:val="InternetLink"/>
                  <w:rFonts w:ascii="Times New Roman;serif" w:hAnsi="Times New Roman;serif"/>
                  <w:b w:val="false"/>
                  <w:color w:val="000080"/>
                  <w:sz w:val="20"/>
                  <w:u w:val="single"/>
                </w:rPr>
                <w:t>3</w:t>
              </w:r>
            </w:hyperlink>
            <w:hyperlink w:anchor="i6e2575bd3a904a6aa540b77a5858bae0_16">
              <w:r>
                <w:rPr>
                  <w:rStyle w:val="InternetLink"/>
                  <w:rFonts w:ascii="Times New Roman;serif" w:hAnsi="Times New Roman;serif"/>
                  <w:b w:val="false"/>
                  <w:color w:val="000080"/>
                  <w:sz w:val="20"/>
                  <w:u w:val="single"/>
                </w:rPr>
                <w:t>0</w:t>
              </w:r>
            </w:hyperlink>
            <w:hyperlink w:anchor="i6e2575bd3a904a6aa540b77a5858bae0_16">
              <w:r>
                <w:rPr>
                  <w:rStyle w:val="InternetLink"/>
                  <w:rFonts w:ascii="Times New Roman;serif" w:hAnsi="Times New Roman;serif"/>
                  <w:b w:val="false"/>
                  <w:color w:val="000080"/>
                  <w:sz w:val="20"/>
                  <w:u w:val="single"/>
                </w:rPr>
                <w:t>, 2026 and December 31, 2025</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6">
              <w:r>
                <w:rPr>
                  <w:rStyle w:val="InternetLink"/>
                  <w:rFonts w:ascii="Times New Roman;serif" w:hAnsi="Times New Roman;serif"/>
                  <w:b w:val="false"/>
                  <w:strike w:val="false"/>
                  <w:dstrike w:val="false"/>
                  <w:color w:val="000000"/>
                  <w:sz w:val="20"/>
                  <w:u w:val="none"/>
                  <w:effect w:val="none"/>
                </w:rPr>
                <w:t>1</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9">
              <w:r>
                <w:rPr>
                  <w:rStyle w:val="InternetLink"/>
                  <w:rFonts w:ascii="Times New Roman;serif" w:hAnsi="Times New Roman;serif"/>
                  <w:b w:val="false"/>
                  <w:color w:val="000080"/>
                  <w:sz w:val="20"/>
                  <w:u w:val="single"/>
                </w:rPr>
                <w:t>Condensed Consolidated Statements of Operations for the three</w:t>
              </w:r>
            </w:hyperlink>
            <w:hyperlink w:anchor="i6e2575bd3a904a6aa540b77a5858bae0_19">
              <w:r>
                <w:rPr>
                  <w:rStyle w:val="InternetLink"/>
                  <w:rFonts w:ascii="Times New Roman;serif" w:hAnsi="Times New Roman;serif"/>
                  <w:b w:val="false"/>
                  <w:color w:val="000080"/>
                  <w:sz w:val="20"/>
                  <w:u w:val="single"/>
                </w:rPr>
                <w:t xml:space="preserve"> and six</w:t>
              </w:r>
            </w:hyperlink>
            <w:hyperlink w:anchor="i6e2575bd3a904a6aa540b77a5858bae0_19">
              <w:r>
                <w:rPr>
                  <w:rStyle w:val="InternetLink"/>
                  <w:rFonts w:ascii="Times New Roman;serif" w:hAnsi="Times New Roman;serif"/>
                  <w:b w:val="false"/>
                  <w:color w:val="000080"/>
                  <w:sz w:val="20"/>
                  <w:u w:val="single"/>
                </w:rPr>
                <w:t xml:space="preserve"> months ended </w:t>
              </w:r>
            </w:hyperlink>
            <w:hyperlink w:anchor="i6e2575bd3a904a6aa540b77a5858bae0_19">
              <w:r>
                <w:rPr>
                  <w:rStyle w:val="InternetLink"/>
                  <w:rFonts w:ascii="Times New Roman;serif" w:hAnsi="Times New Roman;serif"/>
                  <w:b w:val="false"/>
                  <w:color w:val="000080"/>
                  <w:sz w:val="20"/>
                  <w:u w:val="single"/>
                </w:rPr>
                <w:t>June</w:t>
              </w:r>
            </w:hyperlink>
            <w:hyperlink w:anchor="i6e2575bd3a904a6aa540b77a5858bae0_19">
              <w:r>
                <w:rPr>
                  <w:rStyle w:val="InternetLink"/>
                  <w:rFonts w:ascii="Times New Roman;serif" w:hAnsi="Times New Roman;serif"/>
                  <w:b w:val="false"/>
                  <w:color w:val="000080"/>
                  <w:sz w:val="20"/>
                  <w:u w:val="single"/>
                </w:rPr>
                <w:t xml:space="preserve"> 3</w:t>
              </w:r>
            </w:hyperlink>
            <w:hyperlink w:anchor="i6e2575bd3a904a6aa540b77a5858bae0_19">
              <w:r>
                <w:rPr>
                  <w:rStyle w:val="InternetLink"/>
                  <w:rFonts w:ascii="Times New Roman;serif" w:hAnsi="Times New Roman;serif"/>
                  <w:b w:val="false"/>
                  <w:color w:val="000080"/>
                  <w:sz w:val="20"/>
                  <w:u w:val="single"/>
                </w:rPr>
                <w:t>0</w:t>
              </w:r>
            </w:hyperlink>
            <w:hyperlink w:anchor="i6e2575bd3a904a6aa540b77a5858bae0_19">
              <w:r>
                <w:rPr>
                  <w:rStyle w:val="InternetLink"/>
                  <w:rFonts w:ascii="Times New Roman;serif" w:hAnsi="Times New Roman;serif"/>
                  <w:b w:val="false"/>
                  <w:color w:val="000080"/>
                  <w:sz w:val="20"/>
                  <w:u w:val="single"/>
                </w:rPr>
                <w:t xml:space="preserve">, 2026 and </w:t>
              </w:r>
            </w:hyperlink>
            <w:hyperlink w:anchor="i6e2575bd3a904a6aa540b77a5858bae0_19">
              <w:r>
                <w:rPr>
                  <w:rStyle w:val="InternetLink"/>
                  <w:rFonts w:ascii="Times New Roman;serif" w:hAnsi="Times New Roman;serif"/>
                  <w:b w:val="false"/>
                  <w:color w:val="000080"/>
                  <w:sz w:val="20"/>
                  <w:u w:val="single"/>
                </w:rPr>
                <w:t>June</w:t>
              </w:r>
            </w:hyperlink>
            <w:hyperlink w:anchor="i6e2575bd3a904a6aa540b77a5858bae0_19">
              <w:r>
                <w:rPr>
                  <w:rStyle w:val="InternetLink"/>
                  <w:rFonts w:ascii="Times New Roman;serif" w:hAnsi="Times New Roman;serif"/>
                  <w:b w:val="false"/>
                  <w:color w:val="000080"/>
                  <w:sz w:val="20"/>
                  <w:u w:val="single"/>
                </w:rPr>
                <w:t xml:space="preserve"> 3</w:t>
              </w:r>
            </w:hyperlink>
            <w:hyperlink w:anchor="i6e2575bd3a904a6aa540b77a5858bae0_19">
              <w:r>
                <w:rPr>
                  <w:rStyle w:val="InternetLink"/>
                  <w:rFonts w:ascii="Times New Roman;serif" w:hAnsi="Times New Roman;serif"/>
                  <w:b w:val="false"/>
                  <w:color w:val="000080"/>
                  <w:sz w:val="20"/>
                  <w:u w:val="single"/>
                </w:rPr>
                <w:t>0</w:t>
              </w:r>
            </w:hyperlink>
            <w:hyperlink w:anchor="i6e2575bd3a904a6aa540b77a5858bae0_19">
              <w:r>
                <w:rPr>
                  <w:rStyle w:val="InternetLink"/>
                  <w:rFonts w:ascii="Times New Roman;serif" w:hAnsi="Times New Roman;serif"/>
                  <w:b w:val="false"/>
                  <w:color w:val="000080"/>
                  <w:sz w:val="20"/>
                  <w:u w:val="single"/>
                </w:rPr>
                <w:t>, 2025</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9">
              <w:r>
                <w:rPr>
                  <w:rStyle w:val="InternetLink"/>
                  <w:rFonts w:ascii="Times New Roman;serif" w:hAnsi="Times New Roman;serif"/>
                  <w:b w:val="false"/>
                  <w:strike w:val="false"/>
                  <w:dstrike w:val="false"/>
                  <w:color w:val="000000"/>
                  <w:sz w:val="20"/>
                  <w:u w:val="none"/>
                  <w:effect w:val="none"/>
                </w:rPr>
                <w:t>2</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e2575bd3a904a6aa540b77a5858bae0_22">
              <w:r>
                <w:rPr>
                  <w:rStyle w:val="InternetLink"/>
                  <w:rFonts w:ascii="Times New Roman;serif" w:hAnsi="Times New Roman;serif"/>
                  <w:b w:val="false"/>
                  <w:color w:val="000080"/>
                  <w:sz w:val="20"/>
                  <w:u w:val="single"/>
                </w:rPr>
                <w:t>Condensed Consolidated Statements of Comprehensive Income (Loss) for the three</w:t>
              </w:r>
            </w:hyperlink>
            <w:hyperlink w:anchor="i6e2575bd3a904a6aa540b77a5858bae0_22">
              <w:r>
                <w:rPr>
                  <w:rStyle w:val="InternetLink"/>
                  <w:rFonts w:ascii="Times New Roman;serif" w:hAnsi="Times New Roman;serif"/>
                  <w:b w:val="false"/>
                  <w:color w:val="000080"/>
                  <w:sz w:val="20"/>
                  <w:u w:val="single"/>
                </w:rPr>
                <w:t xml:space="preserve"> and six</w:t>
              </w:r>
            </w:hyperlink>
            <w:hyperlink w:anchor="i6e2575bd3a904a6aa540b77a5858bae0_22">
              <w:r>
                <w:rPr>
                  <w:rStyle w:val="InternetLink"/>
                  <w:rFonts w:ascii="Times New Roman;serif" w:hAnsi="Times New Roman;serif"/>
                  <w:b w:val="false"/>
                  <w:color w:val="000080"/>
                  <w:sz w:val="20"/>
                  <w:u w:val="single"/>
                </w:rPr>
                <w:t xml:space="preserve"> months ended </w:t>
              </w:r>
            </w:hyperlink>
            <w:hyperlink w:anchor="i6e2575bd3a904a6aa540b77a5858bae0_22">
              <w:r>
                <w:rPr>
                  <w:rStyle w:val="InternetLink"/>
                  <w:rFonts w:ascii="Times New Roman;serif" w:hAnsi="Times New Roman;serif"/>
                  <w:b w:val="false"/>
                  <w:color w:val="000080"/>
                  <w:sz w:val="20"/>
                  <w:u w:val="single"/>
                </w:rPr>
                <w:t>June</w:t>
              </w:r>
            </w:hyperlink>
            <w:hyperlink w:anchor="i6e2575bd3a904a6aa540b77a5858bae0_22">
              <w:r>
                <w:rPr>
                  <w:rStyle w:val="InternetLink"/>
                  <w:rFonts w:ascii="Times New Roman;serif" w:hAnsi="Times New Roman;serif"/>
                  <w:b w:val="false"/>
                  <w:color w:val="000080"/>
                  <w:sz w:val="20"/>
                  <w:u w:val="single"/>
                </w:rPr>
                <w:t xml:space="preserve"> 3</w:t>
              </w:r>
            </w:hyperlink>
            <w:hyperlink w:anchor="i6e2575bd3a904a6aa540b77a5858bae0_22">
              <w:r>
                <w:rPr>
                  <w:rStyle w:val="InternetLink"/>
                  <w:rFonts w:ascii="Times New Roman;serif" w:hAnsi="Times New Roman;serif"/>
                  <w:b w:val="false"/>
                  <w:color w:val="000080"/>
                  <w:sz w:val="20"/>
                  <w:u w:val="single"/>
                </w:rPr>
                <w:t>0</w:t>
              </w:r>
            </w:hyperlink>
            <w:hyperlink w:anchor="i6e2575bd3a904a6aa540b77a5858bae0_22">
              <w:r>
                <w:rPr>
                  <w:rStyle w:val="InternetLink"/>
                  <w:rFonts w:ascii="Times New Roman;serif" w:hAnsi="Times New Roman;serif"/>
                  <w:b w:val="false"/>
                  <w:color w:val="000080"/>
                  <w:sz w:val="20"/>
                  <w:u w:val="single"/>
                </w:rPr>
                <w:t xml:space="preserve">, 2026 and </w:t>
              </w:r>
            </w:hyperlink>
            <w:hyperlink w:anchor="i6e2575bd3a904a6aa540b77a5858bae0_22">
              <w:r>
                <w:rPr>
                  <w:rStyle w:val="InternetLink"/>
                  <w:rFonts w:ascii="Times New Roman;serif" w:hAnsi="Times New Roman;serif"/>
                  <w:b w:val="false"/>
                  <w:color w:val="000080"/>
                  <w:sz w:val="20"/>
                  <w:u w:val="single"/>
                </w:rPr>
                <w:t>June</w:t>
              </w:r>
            </w:hyperlink>
            <w:hyperlink w:anchor="i6e2575bd3a904a6aa540b77a5858bae0_22">
              <w:r>
                <w:rPr>
                  <w:rStyle w:val="InternetLink"/>
                  <w:rFonts w:ascii="Times New Roman;serif" w:hAnsi="Times New Roman;serif"/>
                  <w:b w:val="false"/>
                  <w:color w:val="000080"/>
                  <w:sz w:val="20"/>
                  <w:u w:val="single"/>
                </w:rPr>
                <w:t xml:space="preserve"> 3</w:t>
              </w:r>
            </w:hyperlink>
            <w:hyperlink w:anchor="i6e2575bd3a904a6aa540b77a5858bae0_22">
              <w:r>
                <w:rPr>
                  <w:rStyle w:val="InternetLink"/>
                  <w:rFonts w:ascii="Times New Roman;serif" w:hAnsi="Times New Roman;serif"/>
                  <w:b w:val="false"/>
                  <w:color w:val="000080"/>
                  <w:sz w:val="20"/>
                  <w:u w:val="single"/>
                </w:rPr>
                <w:t>0</w:t>
              </w:r>
            </w:hyperlink>
            <w:hyperlink w:anchor="i6e2575bd3a904a6aa540b77a5858bae0_22">
              <w:r>
                <w:rPr>
                  <w:rStyle w:val="InternetLink"/>
                  <w:rFonts w:ascii="Times New Roman;serif" w:hAnsi="Times New Roman;serif"/>
                  <w:b w:val="false"/>
                  <w:color w:val="000080"/>
                  <w:sz w:val="20"/>
                  <w:u w:val="single"/>
                </w:rPr>
                <w:t>, 2025</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22">
              <w:r>
                <w:rPr>
                  <w:rStyle w:val="InternetLink"/>
                  <w:rFonts w:ascii="Times New Roman;serif" w:hAnsi="Times New Roman;serif"/>
                  <w:b w:val="false"/>
                  <w:strike w:val="false"/>
                  <w:dstrike w:val="false"/>
                  <w:color w:val="000000"/>
                  <w:sz w:val="20"/>
                  <w:u w:val="none"/>
                  <w:effect w:val="none"/>
                </w:rPr>
                <w:t>3</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25">
              <w:r>
                <w:rPr>
                  <w:rStyle w:val="InternetLink"/>
                  <w:rFonts w:ascii="Times New Roman;serif" w:hAnsi="Times New Roman;serif"/>
                  <w:b w:val="false"/>
                  <w:color w:val="000080"/>
                  <w:sz w:val="20"/>
                  <w:u w:val="single"/>
                </w:rPr>
                <w:t>Condensed Consolidated Statements of Shareholders’ Equity for the three</w:t>
              </w:r>
            </w:hyperlink>
            <w:hyperlink w:anchor="i6e2575bd3a904a6aa540b77a5858bae0_25">
              <w:r>
                <w:rPr>
                  <w:rStyle w:val="InternetLink"/>
                  <w:rFonts w:ascii="Times New Roman;serif" w:hAnsi="Times New Roman;serif"/>
                  <w:b w:val="false"/>
                  <w:color w:val="000080"/>
                  <w:sz w:val="20"/>
                  <w:u w:val="single"/>
                </w:rPr>
                <w:t xml:space="preserve"> and six</w:t>
              </w:r>
            </w:hyperlink>
            <w:hyperlink w:anchor="i6e2575bd3a904a6aa540b77a5858bae0_25">
              <w:r>
                <w:rPr>
                  <w:rStyle w:val="InternetLink"/>
                  <w:rFonts w:ascii="Times New Roman;serif" w:hAnsi="Times New Roman;serif"/>
                  <w:b w:val="false"/>
                  <w:color w:val="000080"/>
                  <w:sz w:val="20"/>
                  <w:u w:val="single"/>
                </w:rPr>
                <w:t xml:space="preserve"> months ended </w:t>
              </w:r>
            </w:hyperlink>
            <w:hyperlink w:anchor="i6e2575bd3a904a6aa540b77a5858bae0_25">
              <w:r>
                <w:rPr>
                  <w:rStyle w:val="InternetLink"/>
                  <w:rFonts w:ascii="Times New Roman;serif" w:hAnsi="Times New Roman;serif"/>
                  <w:b w:val="false"/>
                  <w:color w:val="000080"/>
                  <w:sz w:val="20"/>
                  <w:u w:val="single"/>
                </w:rPr>
                <w:t>June</w:t>
              </w:r>
            </w:hyperlink>
            <w:hyperlink w:anchor="i6e2575bd3a904a6aa540b77a5858bae0_25">
              <w:r>
                <w:rPr>
                  <w:rStyle w:val="InternetLink"/>
                  <w:rFonts w:ascii="Times New Roman;serif" w:hAnsi="Times New Roman;serif"/>
                  <w:b w:val="false"/>
                  <w:color w:val="000080"/>
                  <w:sz w:val="20"/>
                  <w:u w:val="single"/>
                </w:rPr>
                <w:t xml:space="preserve"> 3</w:t>
              </w:r>
            </w:hyperlink>
            <w:hyperlink w:anchor="i6e2575bd3a904a6aa540b77a5858bae0_25">
              <w:r>
                <w:rPr>
                  <w:rStyle w:val="InternetLink"/>
                  <w:rFonts w:ascii="Times New Roman;serif" w:hAnsi="Times New Roman;serif"/>
                  <w:b w:val="false"/>
                  <w:color w:val="000080"/>
                  <w:sz w:val="20"/>
                  <w:u w:val="single"/>
                </w:rPr>
                <w:t>0</w:t>
              </w:r>
            </w:hyperlink>
            <w:hyperlink w:anchor="i6e2575bd3a904a6aa540b77a5858bae0_25">
              <w:r>
                <w:rPr>
                  <w:rStyle w:val="InternetLink"/>
                  <w:rFonts w:ascii="Times New Roman;serif" w:hAnsi="Times New Roman;serif"/>
                  <w:b w:val="false"/>
                  <w:color w:val="000080"/>
                  <w:sz w:val="20"/>
                  <w:u w:val="single"/>
                </w:rPr>
                <w:t xml:space="preserve">, 2026 and </w:t>
              </w:r>
            </w:hyperlink>
            <w:hyperlink w:anchor="i6e2575bd3a904a6aa540b77a5858bae0_25">
              <w:r>
                <w:rPr>
                  <w:rStyle w:val="InternetLink"/>
                  <w:rFonts w:ascii="Times New Roman;serif" w:hAnsi="Times New Roman;serif"/>
                  <w:b w:val="false"/>
                  <w:color w:val="000080"/>
                  <w:sz w:val="20"/>
                  <w:u w:val="single"/>
                </w:rPr>
                <w:t>June</w:t>
              </w:r>
            </w:hyperlink>
            <w:hyperlink w:anchor="i6e2575bd3a904a6aa540b77a5858bae0_25">
              <w:r>
                <w:rPr>
                  <w:rStyle w:val="InternetLink"/>
                  <w:rFonts w:ascii="Times New Roman;serif" w:hAnsi="Times New Roman;serif"/>
                  <w:b w:val="false"/>
                  <w:color w:val="000080"/>
                  <w:sz w:val="20"/>
                  <w:u w:val="single"/>
                </w:rPr>
                <w:t xml:space="preserve"> 3</w:t>
              </w:r>
            </w:hyperlink>
            <w:hyperlink w:anchor="i6e2575bd3a904a6aa540b77a5858bae0_25">
              <w:r>
                <w:rPr>
                  <w:rStyle w:val="InternetLink"/>
                  <w:rFonts w:ascii="Times New Roman;serif" w:hAnsi="Times New Roman;serif"/>
                  <w:b w:val="false"/>
                  <w:color w:val="000080"/>
                  <w:sz w:val="20"/>
                  <w:u w:val="single"/>
                </w:rPr>
                <w:t>0</w:t>
              </w:r>
            </w:hyperlink>
            <w:hyperlink w:anchor="i6e2575bd3a904a6aa540b77a5858bae0_25">
              <w:r>
                <w:rPr>
                  <w:rStyle w:val="InternetLink"/>
                  <w:rFonts w:ascii="Times New Roman;serif" w:hAnsi="Times New Roman;serif"/>
                  <w:b w:val="false"/>
                  <w:color w:val="000080"/>
                  <w:sz w:val="20"/>
                  <w:u w:val="single"/>
                </w:rPr>
                <w:t>, 2025</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25">
              <w:r>
                <w:rPr>
                  <w:rStyle w:val="InternetLink"/>
                  <w:rFonts w:ascii="Times New Roman;serif" w:hAnsi="Times New Roman;serif"/>
                  <w:b w:val="false"/>
                  <w:strike w:val="false"/>
                  <w:dstrike w:val="false"/>
                  <w:color w:val="000000"/>
                  <w:sz w:val="20"/>
                  <w:u w:val="none"/>
                  <w:effect w:val="none"/>
                </w:rPr>
                <w:t>4</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28">
              <w:r>
                <w:rPr>
                  <w:rStyle w:val="InternetLink"/>
                  <w:rFonts w:ascii="Times New Roman;serif" w:hAnsi="Times New Roman;serif"/>
                  <w:b w:val="false"/>
                  <w:color w:val="000080"/>
                  <w:sz w:val="20"/>
                  <w:u w:val="single"/>
                </w:rPr>
                <w:t xml:space="preserve">Condensed Consolidated Statements of Cash Flows for the </w:t>
              </w:r>
            </w:hyperlink>
            <w:hyperlink w:anchor="i6e2575bd3a904a6aa540b77a5858bae0_28">
              <w:r>
                <w:rPr>
                  <w:rStyle w:val="InternetLink"/>
                  <w:rFonts w:ascii="Times New Roman;serif" w:hAnsi="Times New Roman;serif"/>
                  <w:b w:val="false"/>
                  <w:color w:val="000080"/>
                  <w:sz w:val="20"/>
                  <w:u w:val="single"/>
                </w:rPr>
                <w:t>six</w:t>
              </w:r>
            </w:hyperlink>
            <w:hyperlink w:anchor="i6e2575bd3a904a6aa540b77a5858bae0_28">
              <w:r>
                <w:rPr>
                  <w:rStyle w:val="InternetLink"/>
                  <w:rFonts w:ascii="Times New Roman;serif" w:hAnsi="Times New Roman;serif"/>
                  <w:b w:val="false"/>
                  <w:color w:val="000080"/>
                  <w:sz w:val="20"/>
                  <w:u w:val="single"/>
                </w:rPr>
                <w:t xml:space="preserve"> months ended </w:t>
              </w:r>
            </w:hyperlink>
            <w:hyperlink w:anchor="i6e2575bd3a904a6aa540b77a5858bae0_28">
              <w:r>
                <w:rPr>
                  <w:rStyle w:val="InternetLink"/>
                  <w:rFonts w:ascii="Times New Roman;serif" w:hAnsi="Times New Roman;serif"/>
                  <w:b w:val="false"/>
                  <w:color w:val="000080"/>
                  <w:sz w:val="20"/>
                  <w:u w:val="single"/>
                </w:rPr>
                <w:t>June</w:t>
              </w:r>
            </w:hyperlink>
            <w:hyperlink w:anchor="i6e2575bd3a904a6aa540b77a5858bae0_28">
              <w:r>
                <w:rPr>
                  <w:rStyle w:val="InternetLink"/>
                  <w:rFonts w:ascii="Times New Roman;serif" w:hAnsi="Times New Roman;serif"/>
                  <w:b w:val="false"/>
                  <w:color w:val="000080"/>
                  <w:sz w:val="20"/>
                  <w:u w:val="single"/>
                </w:rPr>
                <w:t xml:space="preserve"> 3</w:t>
              </w:r>
            </w:hyperlink>
            <w:hyperlink w:anchor="i6e2575bd3a904a6aa540b77a5858bae0_28">
              <w:r>
                <w:rPr>
                  <w:rStyle w:val="InternetLink"/>
                  <w:rFonts w:ascii="Times New Roman;serif" w:hAnsi="Times New Roman;serif"/>
                  <w:b w:val="false"/>
                  <w:color w:val="000080"/>
                  <w:sz w:val="20"/>
                  <w:u w:val="single"/>
                </w:rPr>
                <w:t>0</w:t>
              </w:r>
            </w:hyperlink>
            <w:hyperlink w:anchor="i6e2575bd3a904a6aa540b77a5858bae0_28">
              <w:r>
                <w:rPr>
                  <w:rStyle w:val="InternetLink"/>
                  <w:rFonts w:ascii="Times New Roman;serif" w:hAnsi="Times New Roman;serif"/>
                  <w:b w:val="false"/>
                  <w:color w:val="000080"/>
                  <w:sz w:val="20"/>
                  <w:u w:val="single"/>
                </w:rPr>
                <w:t xml:space="preserve">, 2026 and </w:t>
              </w:r>
            </w:hyperlink>
            <w:hyperlink w:anchor="i6e2575bd3a904a6aa540b77a5858bae0_28">
              <w:r>
                <w:rPr>
                  <w:rStyle w:val="InternetLink"/>
                  <w:rFonts w:ascii="Times New Roman;serif" w:hAnsi="Times New Roman;serif"/>
                  <w:b w:val="false"/>
                  <w:color w:val="000080"/>
                  <w:sz w:val="20"/>
                  <w:u w:val="single"/>
                </w:rPr>
                <w:t>June</w:t>
              </w:r>
            </w:hyperlink>
            <w:hyperlink w:anchor="i6e2575bd3a904a6aa540b77a5858bae0_28">
              <w:r>
                <w:rPr>
                  <w:rStyle w:val="InternetLink"/>
                  <w:rFonts w:ascii="Times New Roman;serif" w:hAnsi="Times New Roman;serif"/>
                  <w:b w:val="false"/>
                  <w:color w:val="000080"/>
                  <w:sz w:val="20"/>
                  <w:u w:val="single"/>
                </w:rPr>
                <w:t xml:space="preserve"> 3</w:t>
              </w:r>
            </w:hyperlink>
            <w:hyperlink w:anchor="i6e2575bd3a904a6aa540b77a5858bae0_28">
              <w:r>
                <w:rPr>
                  <w:rStyle w:val="InternetLink"/>
                  <w:rFonts w:ascii="Times New Roman;serif" w:hAnsi="Times New Roman;serif"/>
                  <w:b w:val="false"/>
                  <w:color w:val="000080"/>
                  <w:sz w:val="20"/>
                  <w:u w:val="single"/>
                </w:rPr>
                <w:t>0</w:t>
              </w:r>
            </w:hyperlink>
            <w:hyperlink w:anchor="i6e2575bd3a904a6aa540b77a5858bae0_28">
              <w:r>
                <w:rPr>
                  <w:rStyle w:val="InternetLink"/>
                  <w:rFonts w:ascii="Times New Roman;serif" w:hAnsi="Times New Roman;serif"/>
                  <w:b w:val="false"/>
                  <w:color w:val="000080"/>
                  <w:sz w:val="20"/>
                  <w:u w:val="single"/>
                </w:rPr>
                <w:t>, 2025</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28">
              <w:r>
                <w:rPr>
                  <w:rStyle w:val="InternetLink"/>
                  <w:rFonts w:ascii="Times New Roman;serif" w:hAnsi="Times New Roman;serif"/>
                  <w:b w:val="false"/>
                  <w:strike w:val="false"/>
                  <w:dstrike w:val="false"/>
                  <w:color w:val="000000"/>
                  <w:sz w:val="20"/>
                  <w:u w:val="none"/>
                  <w:effect w:val="none"/>
                </w:rPr>
                <w:t>6</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31">
              <w:r>
                <w:rPr>
                  <w:rStyle w:val="InternetLink"/>
                  <w:rFonts w:ascii="Times New Roman;serif" w:hAnsi="Times New Roman;serif"/>
                  <w:b w:val="false"/>
                  <w:color w:val="0000FF"/>
                  <w:sz w:val="20"/>
                  <w:u w:val="single"/>
                </w:rPr>
                <w:t>Notes to Condensed Consolidated Financial Statements</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31">
              <w:r>
                <w:rPr>
                  <w:rStyle w:val="InternetLink"/>
                  <w:rFonts w:ascii="Times New Roman;serif" w:hAnsi="Times New Roman;serif"/>
                  <w:b w:val="false"/>
                  <w:strike w:val="false"/>
                  <w:dstrike w:val="false"/>
                  <w:color w:val="000000"/>
                  <w:sz w:val="20"/>
                  <w:u w:val="none"/>
                  <w:effect w:val="none"/>
                </w:rPr>
                <w:t>7</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94">
              <w:r>
                <w:rPr>
                  <w:rStyle w:val="InternetLink"/>
                  <w:rFonts w:ascii="Times New Roman;serif" w:hAnsi="Times New Roman;serif"/>
                  <w:b w:val="false"/>
                  <w:strike w:val="false"/>
                  <w:dstrike w:val="false"/>
                  <w:color w:val="000000"/>
                  <w:sz w:val="20"/>
                  <w:u w:val="none"/>
                  <w:effect w:val="none"/>
                </w:rPr>
                <w:t>Item 2.</w:t>
              </w:r>
            </w:hyperlink>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9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94">
              <w:r>
                <w:rPr>
                  <w:rStyle w:val="InternetLink"/>
                  <w:rFonts w:ascii="Times New Roman;serif" w:hAnsi="Times New Roman;serif"/>
                  <w:b w:val="false"/>
                  <w:strike w:val="false"/>
                  <w:dstrike w:val="false"/>
                  <w:color w:val="000000"/>
                  <w:sz w:val="20"/>
                  <w:u w:val="none"/>
                  <w:effect w:val="none"/>
                </w:rPr>
                <w:t>30</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33">
              <w:r>
                <w:rPr>
                  <w:rStyle w:val="InternetLink"/>
                  <w:rFonts w:ascii="Times New Roman;serif" w:hAnsi="Times New Roman;serif"/>
                  <w:b w:val="false"/>
                  <w:strike w:val="false"/>
                  <w:dstrike w:val="false"/>
                  <w:color w:val="000000"/>
                  <w:sz w:val="20"/>
                  <w:u w:val="none"/>
                  <w:effect w:val="none"/>
                </w:rPr>
                <w:t>Item 3.</w:t>
              </w:r>
            </w:hyperlink>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33">
              <w:r>
                <w:rPr>
                  <w:rStyle w:val="InternetLink"/>
                  <w:rFonts w:ascii="Times New Roman;serif" w:hAnsi="Times New Roman;serif"/>
                  <w:b w:val="false"/>
                  <w:color w:val="0000FF"/>
                  <w:sz w:val="20"/>
                  <w:u w:val="single"/>
                </w:rPr>
                <w:t>Quantitative and Qualitative Disclosures About Market Risk</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33">
              <w:r>
                <w:rPr>
                  <w:rStyle w:val="InternetLink"/>
                  <w:rFonts w:ascii="Times New Roman;serif" w:hAnsi="Times New Roman;serif"/>
                  <w:b w:val="false"/>
                  <w:strike w:val="false"/>
                  <w:dstrike w:val="false"/>
                  <w:color w:val="000000"/>
                  <w:sz w:val="20"/>
                  <w:u w:val="none"/>
                  <w:effect w:val="none"/>
                </w:rPr>
                <w:t>45</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36">
              <w:r>
                <w:rPr>
                  <w:rStyle w:val="InternetLink"/>
                  <w:rFonts w:ascii="Times New Roman;serif" w:hAnsi="Times New Roman;serif"/>
                  <w:b w:val="false"/>
                  <w:strike w:val="false"/>
                  <w:dstrike w:val="false"/>
                  <w:color w:val="000000"/>
                  <w:sz w:val="20"/>
                  <w:u w:val="none"/>
                  <w:effect w:val="none"/>
                </w:rPr>
                <w:t>Item 4.</w:t>
              </w:r>
            </w:hyperlink>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36">
              <w:r>
                <w:rPr>
                  <w:rStyle w:val="InternetLink"/>
                  <w:rFonts w:ascii="Times New Roman;serif" w:hAnsi="Times New Roman;serif"/>
                  <w:b w:val="false"/>
                  <w:color w:val="0000FF"/>
                  <w:sz w:val="20"/>
                  <w:u w:val="single"/>
                </w:rPr>
                <w:t>Controls and Procedures</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36">
              <w:r>
                <w:rPr>
                  <w:rStyle w:val="InternetLink"/>
                  <w:rFonts w:ascii="Times New Roman;serif" w:hAnsi="Times New Roman;serif"/>
                  <w:b w:val="false"/>
                  <w:strike w:val="false"/>
                  <w:dstrike w:val="false"/>
                  <w:color w:val="000000"/>
                  <w:sz w:val="20"/>
                  <w:u w:val="none"/>
                  <w:effect w:val="none"/>
                </w:rPr>
                <w:t>45</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39">
              <w:r>
                <w:rPr>
                  <w:rStyle w:val="InternetLink"/>
                  <w:rFonts w:ascii="Times New Roman;serif" w:hAnsi="Times New Roman;serif"/>
                  <w:b/>
                  <w:strike w:val="false"/>
                  <w:dstrike w:val="false"/>
                  <w:color w:val="000000"/>
                  <w:sz w:val="20"/>
                  <w:u w:val="none"/>
                  <w:effect w:val="none"/>
                </w:rPr>
                <w:t>PART II.</w:t>
              </w:r>
            </w:hyperlink>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39">
              <w:r>
                <w:rPr>
                  <w:rStyle w:val="InternetLink"/>
                  <w:rFonts w:ascii="Times New Roman;serif" w:hAnsi="Times New Roman;serif"/>
                  <w:b w:val="false"/>
                  <w:color w:val="0000FF"/>
                  <w:sz w:val="20"/>
                  <w:u w:val="single"/>
                </w:rPr>
                <w:t>OTHER INFORMATION</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39">
              <w:r>
                <w:rPr>
                  <w:rStyle w:val="InternetLink"/>
                  <w:rFonts w:ascii="Times New Roman;serif" w:hAnsi="Times New Roman;serif"/>
                  <w:b w:val="false"/>
                  <w:strike w:val="false"/>
                  <w:dstrike w:val="false"/>
                  <w:color w:val="000000"/>
                  <w:sz w:val="20"/>
                  <w:u w:val="none"/>
                  <w:effect w:val="none"/>
                </w:rPr>
                <w:t>46</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42">
              <w:r>
                <w:rPr>
                  <w:rStyle w:val="InternetLink"/>
                  <w:rFonts w:ascii="Times New Roman;serif" w:hAnsi="Times New Roman;serif"/>
                  <w:b w:val="false"/>
                  <w:strike w:val="false"/>
                  <w:dstrike w:val="false"/>
                  <w:color w:val="000000"/>
                  <w:sz w:val="20"/>
                  <w:u w:val="none"/>
                  <w:effect w:val="none"/>
                </w:rPr>
                <w:t>Item 1.</w:t>
              </w:r>
            </w:hyperlink>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42">
              <w:r>
                <w:rPr>
                  <w:rStyle w:val="InternetLink"/>
                  <w:rFonts w:ascii="Times New Roman;serif" w:hAnsi="Times New Roman;serif"/>
                  <w:b w:val="false"/>
                  <w:color w:val="0000FF"/>
                  <w:sz w:val="20"/>
                  <w:u w:val="single"/>
                </w:rPr>
                <w:t>Legal Proceedings</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42">
              <w:r>
                <w:rPr>
                  <w:rStyle w:val="InternetLink"/>
                  <w:rFonts w:ascii="Times New Roman;serif" w:hAnsi="Times New Roman;serif"/>
                  <w:b w:val="false"/>
                  <w:strike w:val="false"/>
                  <w:dstrike w:val="false"/>
                  <w:color w:val="000000"/>
                  <w:sz w:val="20"/>
                  <w:u w:val="none"/>
                  <w:effect w:val="none"/>
                </w:rPr>
                <w:t>46</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45">
              <w:r>
                <w:rPr>
                  <w:rStyle w:val="InternetLink"/>
                  <w:rFonts w:ascii="Times New Roman;serif" w:hAnsi="Times New Roman;serif"/>
                  <w:b w:val="false"/>
                  <w:strike w:val="false"/>
                  <w:dstrike w:val="false"/>
                  <w:color w:val="000000"/>
                  <w:sz w:val="20"/>
                  <w:u w:val="none"/>
                  <w:effect w:val="none"/>
                </w:rPr>
                <w:t>Item 1A.</w:t>
              </w:r>
            </w:hyperlink>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45">
              <w:r>
                <w:rPr>
                  <w:rStyle w:val="InternetLink"/>
                  <w:rFonts w:ascii="Times New Roman;serif" w:hAnsi="Times New Roman;serif"/>
                  <w:b w:val="false"/>
                  <w:color w:val="0000FF"/>
                  <w:sz w:val="20"/>
                  <w:u w:val="single"/>
                </w:rPr>
                <w:t>Risk Factors</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45">
              <w:r>
                <w:rPr>
                  <w:rStyle w:val="InternetLink"/>
                  <w:rFonts w:ascii="Times New Roman;serif" w:hAnsi="Times New Roman;serif"/>
                  <w:b w:val="false"/>
                  <w:strike w:val="false"/>
                  <w:dstrike w:val="false"/>
                  <w:color w:val="000000"/>
                  <w:sz w:val="20"/>
                  <w:u w:val="none"/>
                  <w:effect w:val="none"/>
                </w:rPr>
                <w:t>46</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48">
              <w:r>
                <w:rPr>
                  <w:rStyle w:val="InternetLink"/>
                  <w:rFonts w:ascii="Times New Roman;serif" w:hAnsi="Times New Roman;serif"/>
                  <w:b w:val="false"/>
                  <w:strike w:val="false"/>
                  <w:dstrike w:val="false"/>
                  <w:color w:val="000000"/>
                  <w:sz w:val="20"/>
                  <w:u w:val="none"/>
                  <w:effect w:val="none"/>
                </w:rPr>
                <w:t>Item 2.</w:t>
              </w:r>
            </w:hyperlink>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48">
              <w:r>
                <w:rPr>
                  <w:rStyle w:val="InternetLink"/>
                  <w:rFonts w:ascii="Times New Roman;serif" w:hAnsi="Times New Roman;serif"/>
                  <w:b w:val="false"/>
                  <w:color w:val="0000FF"/>
                  <w:sz w:val="20"/>
                  <w:u w:val="single"/>
                </w:rPr>
                <w:t>Unregistered Sales of Equity Securities and Use of Proceeds</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48">
              <w:r>
                <w:rPr>
                  <w:rStyle w:val="InternetLink"/>
                  <w:rFonts w:ascii="Times New Roman;serif" w:hAnsi="Times New Roman;serif"/>
                  <w:b w:val="false"/>
                  <w:strike w:val="false"/>
                  <w:dstrike w:val="false"/>
                  <w:color w:val="000000"/>
                  <w:sz w:val="20"/>
                  <w:u w:val="none"/>
                  <w:effect w:val="none"/>
                </w:rPr>
                <w:t>48</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51">
              <w:r>
                <w:rPr>
                  <w:rStyle w:val="InternetLink"/>
                  <w:rFonts w:ascii="Times New Roman;serif" w:hAnsi="Times New Roman;serif"/>
                  <w:b w:val="false"/>
                  <w:strike w:val="false"/>
                  <w:dstrike w:val="false"/>
                  <w:color w:val="000000"/>
                  <w:sz w:val="20"/>
                  <w:u w:val="none"/>
                  <w:effect w:val="none"/>
                </w:rPr>
                <w:t>Item 3.</w:t>
              </w:r>
            </w:hyperlink>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51">
              <w:r>
                <w:rPr>
                  <w:rStyle w:val="InternetLink"/>
                  <w:rFonts w:ascii="Times New Roman;serif" w:hAnsi="Times New Roman;serif"/>
                  <w:b w:val="false"/>
                  <w:color w:val="0000FF"/>
                  <w:sz w:val="20"/>
                  <w:u w:val="single"/>
                </w:rPr>
                <w:t>Defaults Upon Senior Securities</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51">
              <w:r>
                <w:rPr>
                  <w:rStyle w:val="InternetLink"/>
                  <w:rFonts w:ascii="Times New Roman;serif" w:hAnsi="Times New Roman;serif"/>
                  <w:b w:val="false"/>
                  <w:strike w:val="false"/>
                  <w:dstrike w:val="false"/>
                  <w:color w:val="000000"/>
                  <w:sz w:val="20"/>
                  <w:u w:val="none"/>
                  <w:effect w:val="none"/>
                </w:rPr>
                <w:t>49</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54">
              <w:r>
                <w:rPr>
                  <w:rStyle w:val="InternetLink"/>
                  <w:rFonts w:ascii="Times New Roman;serif" w:hAnsi="Times New Roman;serif"/>
                  <w:b w:val="false"/>
                  <w:strike w:val="false"/>
                  <w:dstrike w:val="false"/>
                  <w:color w:val="000000"/>
                  <w:sz w:val="20"/>
                  <w:u w:val="none"/>
                  <w:effect w:val="none"/>
                </w:rPr>
                <w:t>Item 4.</w:t>
              </w:r>
            </w:hyperlink>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54">
              <w:r>
                <w:rPr>
                  <w:rStyle w:val="InternetLink"/>
                  <w:rFonts w:ascii="Times New Roman;serif" w:hAnsi="Times New Roman;serif"/>
                  <w:b w:val="false"/>
                  <w:color w:val="0000FF"/>
                  <w:sz w:val="20"/>
                  <w:u w:val="single"/>
                </w:rPr>
                <w:t>Mine Safety Disclosures</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54">
              <w:r>
                <w:rPr>
                  <w:rStyle w:val="InternetLink"/>
                  <w:rFonts w:ascii="Times New Roman;serif" w:hAnsi="Times New Roman;serif"/>
                  <w:b w:val="false"/>
                  <w:strike w:val="false"/>
                  <w:dstrike w:val="false"/>
                  <w:color w:val="000000"/>
                  <w:sz w:val="20"/>
                  <w:u w:val="none"/>
                  <w:effect w:val="none"/>
                </w:rPr>
                <w:t>49</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57">
              <w:r>
                <w:rPr>
                  <w:rStyle w:val="InternetLink"/>
                  <w:rFonts w:ascii="Times New Roman;serif" w:hAnsi="Times New Roman;serif"/>
                  <w:b w:val="false"/>
                  <w:strike w:val="false"/>
                  <w:dstrike w:val="false"/>
                  <w:color w:val="000000"/>
                  <w:sz w:val="20"/>
                  <w:u w:val="none"/>
                  <w:effect w:val="none"/>
                </w:rPr>
                <w:t>Item 5.</w:t>
              </w:r>
            </w:hyperlink>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57">
              <w:r>
                <w:rPr>
                  <w:rStyle w:val="InternetLink"/>
                  <w:rFonts w:ascii="Times New Roman;serif" w:hAnsi="Times New Roman;serif"/>
                  <w:b w:val="false"/>
                  <w:color w:val="0000FF"/>
                  <w:sz w:val="20"/>
                  <w:u w:val="single"/>
                </w:rPr>
                <w:t>Other Information</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57">
              <w:r>
                <w:rPr>
                  <w:rStyle w:val="InternetLink"/>
                  <w:rFonts w:ascii="Times New Roman;serif" w:hAnsi="Times New Roman;serif"/>
                  <w:b w:val="false"/>
                  <w:strike w:val="false"/>
                  <w:dstrike w:val="false"/>
                  <w:color w:val="000000"/>
                  <w:sz w:val="20"/>
                  <w:u w:val="none"/>
                  <w:effect w:val="none"/>
                </w:rPr>
                <w:t>49</w:t>
              </w:r>
            </w:hyperlink>
          </w:p>
        </w:tc>
      </w:tr>
      <w:tr>
        <w:trPr/>
        <w:tc>
          <w:tcPr>
            <w:tcW w:w="822"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63">
              <w:r>
                <w:rPr>
                  <w:rStyle w:val="InternetLink"/>
                  <w:rFonts w:ascii="Times New Roman;serif" w:hAnsi="Times New Roman;serif"/>
                  <w:b w:val="false"/>
                  <w:strike w:val="false"/>
                  <w:dstrike w:val="false"/>
                  <w:color w:val="000000"/>
                  <w:sz w:val="20"/>
                  <w:u w:val="none"/>
                  <w:effect w:val="none"/>
                </w:rPr>
                <w:t>Item 6.</w:t>
              </w:r>
            </w:hyperlink>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63">
              <w:r>
                <w:rPr>
                  <w:rStyle w:val="InternetLink"/>
                  <w:rFonts w:ascii="Times New Roman;serif" w:hAnsi="Times New Roman;serif"/>
                  <w:b w:val="false"/>
                  <w:color w:val="0000FF"/>
                  <w:sz w:val="20"/>
                  <w:u w:val="single"/>
                </w:rPr>
                <w:t>Exhibits</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63">
              <w:r>
                <w:rPr>
                  <w:rStyle w:val="InternetLink"/>
                  <w:rFonts w:ascii="Times New Roman;serif" w:hAnsi="Times New Roman;serif"/>
                  <w:b w:val="false"/>
                  <w:strike w:val="false"/>
                  <w:dstrike w:val="false"/>
                  <w:color w:val="000000"/>
                  <w:sz w:val="20"/>
                  <w:u w:val="none"/>
                  <w:effect w:val="none"/>
                </w:rPr>
                <w:t>50</w:t>
              </w:r>
            </w:hyperlink>
          </w:p>
        </w:tc>
      </w:tr>
      <w:tr>
        <w:trPr/>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7"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6e2575bd3a904a6aa540b77a5858bae0_166">
              <w:r>
                <w:rPr>
                  <w:rStyle w:val="InternetLink"/>
                  <w:rFonts w:ascii="Times New Roman;serif" w:hAnsi="Times New Roman;serif"/>
                  <w:b w:val="false"/>
                  <w:color w:val="0000FF"/>
                  <w:sz w:val="20"/>
                  <w:u w:val="single"/>
                </w:rPr>
                <w:t>Signatures</w:t>
              </w:r>
            </w:hyperlink>
          </w:p>
        </w:tc>
        <w:tc>
          <w:tcPr>
            <w:tcW w:w="516"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6e2575bd3a904a6aa540b77a5858bae0_166">
              <w:r>
                <w:rPr>
                  <w:rStyle w:val="InternetLink"/>
                  <w:rFonts w:ascii="Times New Roman;serif" w:hAnsi="Times New Roman;serif"/>
                  <w:b w:val="false"/>
                  <w:strike w:val="false"/>
                  <w:dstrike w:val="false"/>
                  <w:color w:val="000000"/>
                  <w:sz w:val="20"/>
                  <w:u w:val="none"/>
                  <w:effect w:val="none"/>
                </w:rPr>
                <w:t>51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Section 27A of the Securities Act of 1933, as amended, and Section 21E of the Securities Exchange Act of 1934, as amended. All statements contained in this Quarterly Report on Form 10-Q that do not relate to matters of historical fact should be considered forward-looking statements, including, without limitation, statements regarding the Merger (as defined in footnote 1 below), including the expected timing of the closing of the Merger, the ability of the parties to complete the Merger considering the various closing conditions, the expected synergies, impacts and benefits of the Merger, the plans, strategies and prospects, both business and financial, of Bowman Consulting Group Ltd. (the “Company”), and any assumptions underlying any of the foregoing.</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although not all forward-looking statements contain these words. Forward-looking statements are based on the Company’s current expectations and are not guarantees of future performance. These forward-looking statements are subject to known and unknown risks and uncertainties that may cause actual results to differ materially from the Company’s current expectations. Important factors that could cause such differences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identify and engage a qualified Chief Executive Officer candidate with the necessary skills and experience in a timely manner, and to achieve an orderly transition upon the retirement of Gary Bowman, our Chief Executive Officer;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our ability to retain the continued service of our key professionals and to identify, hire, retain and utilize additional qualified personnel;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demand from the customers that we serve;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any material outbreak or material escalation of international hostilities, including developments in the conflict involving Russia and the Ukraine, or the Middle East and the economic consequences of related events and resulting market volatility;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general domestic and international economic conditions such as inflation rates, interest rates, tax rates, higher labor and healthcare costs, recessions, tariffs, trade wars and changing government policies, laws and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obtain financing to fund our growth strategy and working capital requirements at commercially reasonable rates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uncertainty related to the size and composition of the U.S. government and the impact of downsizing and cost reduction efforts on other governmental and quasi-governmental budgetary and funding approval processes;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execute our acquisitions strategy, including successful completion of acquisitions and the integration of new acquisitions into our operations and financial reporting;</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possibility that our contracts may be terminated by our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win new contracts and renew existing contracts on commercially reasonable terms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competitive pressures and trends in our industry and our ability to successfully compete with our competitors;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dependence on a limited number of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complete projects timely, in accordance with our customers’ expectations, or profitability;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successfully manage our growth strategy;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raise capital in the future on commercially reasonable terms or at all;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credit and collection risks associated with our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comply with procurement laws and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changes in laws, regulations, or policies that directly or indirectly impact our business and operations;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weather conditions and seasonal revenue fluctuations may adversely impact our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enactment of legislation that could limit the ability of local, state and federal agencies to contract for our privatized services;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complete our backlog of uncompleted projects as currently projected;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risk of employee misconduct or our failure to comply with laws and regulations;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control, and operational issues pertaining to, business activities that we conduct with business partners and other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need to comply with a number of restrictive covenants and similar provisions in our credit facility that generally limit our ability to (among other things) incur additional indebtedness, create liens, make acquisitions, pay dividends and undergo certain changes in control, which could affect our ability to finance future operations, acquisitions or capital needs;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significant influence by our largest stockholder, Gary Bowman, our Chief Executive Officer, and the existence of certain anti-takeover measures in our governing documents.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Additionally, these risks and uncertainties include risks and developments related to, among other things, (i) the completion of the proposed Merger on the anticipated terms and timing, or at all, including the parties’ ability to obtain required stockholder approval, regulatory approvals and satisfy the other conditions to the completion of the Merger, or the failure to satisfy such conditions, (ii) the effect of the announcement or pendency of the Merger on the Company’s business, operating results, financial performance, ability to retain and hire key personnel, and relationships with customers, suppliers, competitors and others, (iii) the effect of the restrictions imposed by the Merger Agreement (as defined in footnote 1 below) during the pendency of the Merger, which may (x) disrupt the Company’s current plans and business operations, (y) impact the Company’s ability to pursue certain business opportunities or strategic transactions or (z) divert management’s attention from ongoing business operations, (iv) the ability of Bernhard Capital Partners, the acquiror in the Merger, to procure the financing required to complete the Merger, (v) the possibility that competing offers may be made, and the effect of such competing offers on the Merger and the parties’ respective rights under the Merger Agreement, (vi) the occurrence of any event, change or other circumstances that could give rise to the termination of the Merger Agreement, (vii) the fact that the Company may be required to pay a termination fee to Bernhard Capital Partners if the Merger Agreement is terminated in certain circumstances, (viii) litigation being instituted against the Company, Bernhard Capital Partners or other parties, including their respective directors, managers or officers, in connection with the Merger, which may have an unfavorable outcome, (ix) the uncertainty of the outcome of any such litigation and its effects on the parties to the Merger Agreement, (x) changes in laws, regulations, or policies, (xi) general economic conditions, nationally and globally, and their effect on the market for the Company’s services, (xii) competitive pressures and trends in the Company’s industry and its ability to successfully compete with its competitors, (xiii) the effect on the Company’s stock price if the Merger is not completed, which may decline significantly following a termination of the Merger Agreement, (xiv) potential business uncertainty during the pendency of the Merger, including changes to existing business relationships; (xv) the significant costs, fees and expenses the Company may incur in connection with the Merger, and (xvi) the effects of unknown liabilities related to the Merger on the Company.</w:t>
      </w:r>
    </w:p>
    <w:p>
      <w:pPr>
        <w:pStyle w:val="TextBody"/>
        <w:bidi w:val="0"/>
        <w:spacing w:lineRule="auto" w:line="288" w:before="24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For additional information about other factors that could cause actual results to differ materially from those described in the forward-looking statements, please refer to the Company’s periodic reports and other filings with the SEC, including risks described under the caption “Risk Factors” in the Company’s Annual Report on Form 10-K for the fiscal year ended December 31, 2025, filed with the SEC, and other filings with the SEC, which are accessible on the SEC’s website at www.sec.gov and the Company’s Investor Relations page at investors.bowman.com. The forward-looking statements included in this Quarterly Report on Form 8-K are made only as of the date hereof, and the Company disclaims any obligation to update the forward-looking statements in the future, except as required by applicable law. Forward-looking statements should be considered in light of these risks and uncertainties. Investors and others are cautioned not to place undue reliance on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18"/>
        </w:rPr>
      </w:pPr>
      <w:r>
        <w:rPr>
          <w:rFonts w:ascii="Times New Roman;serif" w:hAnsi="Times New Roman;serif"/>
          <w:b/>
          <w:color w:val="000000"/>
          <w:sz w:val="18"/>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BOWMAN CONSULTING GROUP LTD.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BALANCE SHEETS</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(Amounts in thousands except per share data)</w:t>
      </w:r>
    </w:p>
    <w:tbl>
      <w:tblPr>
        <w:tblW w:w="10205" w:type="dxa"/>
        <w:jc w:val="center"/>
        <w:tblInd w:w="0" w:type="dxa"/>
        <w:tblLayout w:type="fixed"/>
        <w:tblCellMar>
          <w:top w:w="28" w:type="dxa"/>
          <w:left w:w="28" w:type="dxa"/>
          <w:bottom w:w="28" w:type="dxa"/>
          <w:right w:w="28" w:type="dxa"/>
        </w:tblCellMar>
      </w:tblPr>
      <w:tblGrid>
        <w:gridCol w:w="3137"/>
        <w:gridCol w:w="2387"/>
        <w:gridCol w:w="2401"/>
        <w:gridCol w:w="181"/>
        <w:gridCol w:w="661"/>
        <w:gridCol w:w="109"/>
        <w:gridCol w:w="109"/>
        <w:gridCol w:w="109"/>
        <w:gridCol w:w="109"/>
        <w:gridCol w:w="181"/>
        <w:gridCol w:w="663"/>
        <w:gridCol w:w="158"/>
      </w:tblGrid>
      <w:tr>
        <w:trPr/>
        <w:tc>
          <w:tcPr>
            <w:tcW w:w="3137"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360"/>
              <w:jc w:val="left"/>
              <w:rPr>
                <w:sz w:val="4"/>
                <w:szCs w:val="4"/>
              </w:rPr>
            </w:pPr>
            <w:r>
              <w:rPr>
                <w:sz w:val="4"/>
                <w:szCs w:val="4"/>
              </w:rPr>
            </w:r>
          </w:p>
        </w:tc>
      </w:tr>
      <w:tr>
        <w:trPr/>
        <w:tc>
          <w:tcPr>
            <w:tcW w:w="7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5"/>
              </w:rPr>
            </w:pPr>
            <w:r>
              <w:rPr>
                <w:rFonts w:ascii="Times New Roman;serif" w:hAnsi="Times New Roman;serif"/>
                <w:b/>
                <w:color w:val="000000"/>
                <w:sz w:val="15"/>
              </w:rPr>
              <w:t>December 31,</w:t>
              <w:br/>
              <w:t>2025</w:t>
            </w:r>
          </w:p>
        </w:tc>
      </w:tr>
      <w:tr>
        <w:trPr/>
        <w:tc>
          <w:tcPr>
            <w:tcW w:w="7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5"/>
              </w:rPr>
            </w:pPr>
            <w:r>
              <w:rPr>
                <w:rFonts w:ascii="Times New Roman;serif" w:hAnsi="Times New Roman;serif"/>
                <w:b w:val="false"/>
                <w:i/>
                <w:color w:val="000000"/>
                <w:sz w:val="15"/>
              </w:rPr>
              <w:t xml:space="preserve">(Unaudited)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u w:val="single"/>
              </w:rPr>
            </w:pPr>
            <w:r>
              <w:rPr>
                <w:rFonts w:ascii="Times New Roman;serif" w:hAnsi="Times New Roman;serif"/>
                <w:b w:val="false"/>
                <w:color w:val="000000"/>
                <w:sz w:val="15"/>
                <w:u w:val="single"/>
              </w:rPr>
              <w:t>Current Assets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Cash and cash equivalents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11,066 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receivable,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130,634 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Contract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67,055 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53,512 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Notes receivable - officers, employees, affiliates,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Prepaid and other current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17,730 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current assets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235,501 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212,955 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u w:val="single"/>
              </w:rPr>
            </w:pPr>
            <w:r>
              <w:rPr>
                <w:rFonts w:ascii="Times New Roman;serif" w:hAnsi="Times New Roman;serif"/>
                <w:b w:val="false"/>
                <w:color w:val="000000"/>
                <w:sz w:val="15"/>
                <w:u w:val="single"/>
              </w:rPr>
              <w:t>Non-Current 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Property and equipment,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71,684 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49,206 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45,822 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Goodwill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173,579 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Notes receivable, less current portion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903 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Notes receivable - officers, employees, affiliates, less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1,108 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intangible assets,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88,580 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Deferred tax asset,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5,822 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1,707 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Assets</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620,062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579,682</w:t>
            </w: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LIABILITIES AND SHAREHOLDERS' EQUITY</w:t>
            </w:r>
          </w:p>
        </w:tc>
        <w:tc>
          <w:tcPr>
            <w:tcW w:w="95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Revolving credit facility</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95,350 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Accounts payable and accrued liabilities,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59,542 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60,035 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Contract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10,965 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Notes payable,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22,698 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lease obligation, current portion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11,951 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Finance lease obligation,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16,602 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13,735 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Total current liabilities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261,077 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214,734 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Non-Current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Other non-current obligations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377 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Notes payable, less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34,313 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Operating lease obligation, less current portion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39,842 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40,430 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Finance lease obligation, less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34,691 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23,718 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liability,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279 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Pension and post-retirement obligation, less current portion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4,726 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liabilities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363,570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318,577</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Shareholders' Equity</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Preferred Stock, $0.01 par value; 5,000,000 shares authorized, no shares issued and outstanding</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Common stock, $0.01 par value; 30,000,000 shares authorized as of June 30, 2026 and December 31, 2025; 22,462,623 shares issued and 17,232,626 outstanding, and 21,972,432 shares issued and 17,194,091 outstanding as of June 30, 2026 and December 31, 2025, respectively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220 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Additional paid-in-capital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366,644 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355,458 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Accumulated other comprehensive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895 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5"/>
              </w:rPr>
            </w:pPr>
            <w:r>
              <w:rPr>
                <w:rFonts w:ascii="Times New Roman;serif" w:hAnsi="Times New Roman;serif"/>
                <w:b w:val="false"/>
                <w:color w:val="000000"/>
                <w:sz w:val="15"/>
              </w:rPr>
              <w:t>Treasury stock, at cost; 5,229,997 and 4,778,341 shares, respectively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(99,475)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(84,931)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5"/>
              </w:rPr>
            </w:pPr>
            <w:r>
              <w:rPr>
                <w:rFonts w:ascii="Times New Roman;serif" w:hAnsi="Times New Roman;serif"/>
                <w:b w:val="false"/>
                <w:color w:val="000000"/>
                <w:sz w:val="15"/>
              </w:rPr>
              <w:t>Accumulated deficit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(11,744)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5"/>
              </w:rPr>
            </w:pPr>
            <w:r>
              <w:rPr>
                <w:rFonts w:ascii="Times New Roman;serif" w:hAnsi="Times New Roman;serif"/>
                <w:b w:val="false"/>
                <w:color w:val="000000"/>
                <w:sz w:val="15"/>
              </w:rPr>
              <w:t>(10,537)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shareholders' equity</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256,492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261,105</w:t>
            </w:r>
            <w:r>
              <w:rPr>
                <w:color w:val="000000"/>
              </w:rPr>
              <w:t>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TOTAL LIABILITIES AND SHAREHOLDERS' EQUITY</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620,062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w:t>
            </w:r>
          </w:p>
        </w:tc>
        <w:tc>
          <w:tcPr>
            <w:tcW w:w="6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5"/>
              </w:rPr>
              <w:t>579,682</w:t>
            </w:r>
            <w:r>
              <w:rPr>
                <w:color w:val="000000"/>
              </w:rPr>
              <w:t>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14"/>
        </w:rPr>
      </w:pPr>
      <w:r>
        <w:rPr>
          <w:rFonts w:ascii="Times New Roman;serif" w:hAnsi="Times New Roman;serif"/>
          <w:b w:val="false"/>
          <w:color w:val="000000"/>
          <w:sz w:val="14"/>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BOWMAN CONSULTING GROUP LTD.</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CONDENSED CONSOLIDATED INCOME STATEMENTS</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(Amounts in thousands except per share data)</w:t>
      </w:r>
    </w:p>
    <w:p>
      <w:pPr>
        <w:pStyle w:val="TextBody"/>
        <w:bidi w:val="0"/>
        <w:spacing w:lineRule="auto" w:line="288" w:before="0" w:after="0"/>
        <w:jc w:val="center"/>
        <w:rPr>
          <w:rFonts w:ascii="Times New Roman;serif" w:hAnsi="Times New Roman;serif"/>
          <w:b w:val="false"/>
          <w:i/>
          <w:color w:val="000000"/>
          <w:sz w:val="18"/>
          <w:shd w:fill="FFFFFF" w:val="clear"/>
        </w:rPr>
      </w:pPr>
      <w:r>
        <w:rPr>
          <w:rFonts w:ascii="Times New Roman;serif" w:hAnsi="Times New Roman;serif"/>
          <w:b w:val="false"/>
          <w:i/>
          <w:color w:val="000000"/>
          <w:sz w:val="18"/>
          <w:shd w:fill="FFFFFF" w:val="clear"/>
        </w:rPr>
        <w:t>(Unaudited)</w:t>
      </w:r>
    </w:p>
    <w:tbl>
      <w:tblPr>
        <w:tblW w:w="10205" w:type="dxa"/>
        <w:jc w:val="center"/>
        <w:tblInd w:w="0" w:type="dxa"/>
        <w:tblLayout w:type="fixed"/>
        <w:tblCellMar>
          <w:top w:w="28" w:type="dxa"/>
          <w:left w:w="28" w:type="dxa"/>
          <w:bottom w:w="28" w:type="dxa"/>
          <w:right w:w="28" w:type="dxa"/>
        </w:tblCellMar>
      </w:tblPr>
      <w:tblGrid>
        <w:gridCol w:w="1639"/>
        <w:gridCol w:w="1383"/>
        <w:gridCol w:w="1389"/>
        <w:gridCol w:w="211"/>
        <w:gridCol w:w="826"/>
        <w:gridCol w:w="109"/>
        <w:gridCol w:w="109"/>
        <w:gridCol w:w="109"/>
        <w:gridCol w:w="109"/>
        <w:gridCol w:w="211"/>
        <w:gridCol w:w="826"/>
        <w:gridCol w:w="109"/>
        <w:gridCol w:w="109"/>
        <w:gridCol w:w="109"/>
        <w:gridCol w:w="109"/>
        <w:gridCol w:w="225"/>
        <w:gridCol w:w="883"/>
        <w:gridCol w:w="115"/>
        <w:gridCol w:w="115"/>
        <w:gridCol w:w="115"/>
        <w:gridCol w:w="115"/>
        <w:gridCol w:w="225"/>
        <w:gridCol w:w="883"/>
        <w:gridCol w:w="172"/>
      </w:tblGrid>
      <w:tr>
        <w:trPr/>
        <w:tc>
          <w:tcPr>
            <w:tcW w:w="163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ind w:left="0" w:right="0" w:hanging="360"/>
              <w:jc w:val="left"/>
              <w:rPr>
                <w:sz w:val="4"/>
                <w:szCs w:val="4"/>
              </w:rPr>
            </w:pPr>
            <w:r>
              <w:rPr>
                <w:sz w:val="4"/>
                <w:szCs w:val="4"/>
              </w:rPr>
            </w:r>
          </w:p>
        </w:tc>
      </w:tr>
      <w:tr>
        <w:trPr/>
        <w:tc>
          <w:tcPr>
            <w:tcW w:w="4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Contract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272,604 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235,021 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Contract costs:</w:t>
            </w:r>
            <w:r>
              <w:rPr>
                <w:color w:val="000000"/>
              </w:rPr>
              <w:t xml:space="preserve"> </w:t>
            </w:r>
            <w:r>
              <w:rPr>
                <w:rFonts w:ascii="Times New Roman;serif" w:hAnsi="Times New Roman;serif"/>
                <w:b w:val="false"/>
                <w:color w:val="000000"/>
                <w:sz w:val="18"/>
              </w:rPr>
              <w:t>(exclusive of depreciation and amortization below)</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Direct payroll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84,390 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Sub-consultants and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26,971 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contract costs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128,976 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111,361 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100,239 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135,391 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113,480 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8,237 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9,197 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tax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6,434 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(1,207)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4,265</w:t>
            </w: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allocated to non-vested shares</w:t>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7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shareholders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(loss) per share</w:t>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16,433,556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16,331,964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16,443,424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16,344,173</w:t>
            </w:r>
          </w:p>
        </w:tc>
      </w:tr>
      <w:tr>
        <w:trPr/>
        <w:tc>
          <w:tcPr>
            <w:tcW w:w="4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16,604,374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16,583,034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16,443,424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16,589,787</w:t>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BOWMAN CONSULTING GROUP LTD.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(Amounts in thousands)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(Unaudited)</w:t>
      </w:r>
    </w:p>
    <w:tbl>
      <w:tblPr>
        <w:tblW w:w="10022" w:type="dxa"/>
        <w:jc w:val="center"/>
        <w:tblInd w:w="0" w:type="dxa"/>
        <w:tblLayout w:type="fixed"/>
        <w:tblCellMar>
          <w:top w:w="28" w:type="dxa"/>
          <w:left w:w="28" w:type="dxa"/>
          <w:bottom w:w="28" w:type="dxa"/>
          <w:right w:w="28" w:type="dxa"/>
        </w:tblCellMar>
      </w:tblPr>
      <w:tblGrid>
        <w:gridCol w:w="1725"/>
        <w:gridCol w:w="1515"/>
        <w:gridCol w:w="1530"/>
        <w:gridCol w:w="196"/>
        <w:gridCol w:w="556"/>
        <w:gridCol w:w="109"/>
        <w:gridCol w:w="109"/>
        <w:gridCol w:w="109"/>
        <w:gridCol w:w="109"/>
        <w:gridCol w:w="196"/>
        <w:gridCol w:w="556"/>
        <w:gridCol w:w="109"/>
        <w:gridCol w:w="109"/>
        <w:gridCol w:w="109"/>
        <w:gridCol w:w="109"/>
        <w:gridCol w:w="260"/>
        <w:gridCol w:w="838"/>
        <w:gridCol w:w="144"/>
        <w:gridCol w:w="144"/>
        <w:gridCol w:w="144"/>
        <w:gridCol w:w="144"/>
        <w:gridCol w:w="260"/>
        <w:gridCol w:w="738"/>
        <w:gridCol w:w="204"/>
      </w:tblGrid>
      <w:tr>
        <w:trPr/>
        <w:tc>
          <w:tcPr>
            <w:tcW w:w="172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ind w:left="0" w:right="0" w:hanging="360"/>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w:t>
              <w:br/>
              <w:t>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4,265 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and post-retirement adjustments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0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related to items of other comprehensive loss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4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net of tax</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4,201 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BOWMAN CONSULTING GROUP LTD.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CHANGES IN SHAREHOLDERS’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Three Months Ended June 30, 2026 and 2025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(Amounts in thousands except per share data)</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bl>
      <w:tblPr>
        <w:tblW w:w="12362" w:type="dxa"/>
        <w:jc w:val="center"/>
        <w:tblInd w:w="0" w:type="dxa"/>
        <w:tblLayout w:type="fixed"/>
        <w:tblCellMar>
          <w:top w:w="28" w:type="dxa"/>
          <w:left w:w="28" w:type="dxa"/>
          <w:bottom w:w="28" w:type="dxa"/>
          <w:right w:w="28" w:type="dxa"/>
        </w:tblCellMar>
      </w:tblPr>
      <w:tblGrid>
        <w:gridCol w:w="730"/>
        <w:gridCol w:w="220"/>
        <w:gridCol w:w="221"/>
        <w:gridCol w:w="368"/>
        <w:gridCol w:w="368"/>
        <w:gridCol w:w="308"/>
        <w:gridCol w:w="109"/>
        <w:gridCol w:w="109"/>
        <w:gridCol w:w="109"/>
        <w:gridCol w:w="196"/>
        <w:gridCol w:w="436"/>
        <w:gridCol w:w="109"/>
        <w:gridCol w:w="109"/>
        <w:gridCol w:w="109"/>
        <w:gridCol w:w="109"/>
        <w:gridCol w:w="196"/>
        <w:gridCol w:w="751"/>
        <w:gridCol w:w="109"/>
        <w:gridCol w:w="109"/>
        <w:gridCol w:w="109"/>
        <w:gridCol w:w="109"/>
        <w:gridCol w:w="374"/>
        <w:gridCol w:w="377"/>
        <w:gridCol w:w="298"/>
        <w:gridCol w:w="109"/>
        <w:gridCol w:w="109"/>
        <w:gridCol w:w="109"/>
        <w:gridCol w:w="196"/>
        <w:gridCol w:w="661"/>
        <w:gridCol w:w="109"/>
        <w:gridCol w:w="109"/>
        <w:gridCol w:w="109"/>
        <w:gridCol w:w="109"/>
        <w:gridCol w:w="204"/>
        <w:gridCol w:w="597"/>
        <w:gridCol w:w="115"/>
        <w:gridCol w:w="109"/>
        <w:gridCol w:w="109"/>
        <w:gridCol w:w="109"/>
        <w:gridCol w:w="221"/>
        <w:gridCol w:w="391"/>
        <w:gridCol w:w="124"/>
        <w:gridCol w:w="109"/>
        <w:gridCol w:w="109"/>
        <w:gridCol w:w="109"/>
        <w:gridCol w:w="196"/>
        <w:gridCol w:w="661"/>
        <w:gridCol w:w="109"/>
        <w:gridCol w:w="109"/>
        <w:gridCol w:w="109"/>
        <w:gridCol w:w="109"/>
        <w:gridCol w:w="196"/>
        <w:gridCol w:w="751"/>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w:t>
              <w:br/>
              <w:t>Subscription</w:t>
              <w:br/>
              <w:t>Notes</w:t>
              <w:br/>
              <w:t>Receivable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21,502,214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335,514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(4,165,124)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(67,579)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1,114</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(25,130)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244,115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new common shares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(53,066)</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new common shares under stock compensation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185,532 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Cancellation of shares under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(8,832)</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new common shares under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18,970 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Collection on stock subscription notes receivable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(247,634)</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21,706,804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341,727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(4,465,824)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(74,253)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1,082</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(19,121)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249,643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10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22,273,373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360,007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(5,119,949)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(95,959)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869</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(14,239)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250,901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(16,210)</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new common shares under stock compensation plan</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Cancellation of common shares under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(5,366)</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new common shares under employee stock purchase plan</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(93,838)</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1044"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22,462,623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225</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366,644</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(5,229,997)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(99,475)</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842</w:t>
            </w:r>
            <w:r>
              <w:rPr>
                <w:color w:val="000000"/>
              </w:rPr>
              <w:t> </w:t>
            </w:r>
          </w:p>
        </w:tc>
        <w:tc>
          <w:tcPr>
            <w:tcW w:w="1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(11,744)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256,492</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BOWMAN CONSULTING GROUP LTD.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CHANGES IN SHAREHOLDERS’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Six Months Ended June 30, 2026 and 2025</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(Amounts in thousands except per share data)</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bl>
      <w:tblPr>
        <w:tblW w:w="12362" w:type="dxa"/>
        <w:jc w:val="center"/>
        <w:tblInd w:w="0" w:type="dxa"/>
        <w:tblLayout w:type="fixed"/>
        <w:tblCellMar>
          <w:top w:w="28" w:type="dxa"/>
          <w:left w:w="28" w:type="dxa"/>
          <w:bottom w:w="28" w:type="dxa"/>
          <w:right w:w="28" w:type="dxa"/>
        </w:tblCellMar>
      </w:tblPr>
      <w:tblGrid>
        <w:gridCol w:w="701"/>
        <w:gridCol w:w="234"/>
        <w:gridCol w:w="236"/>
        <w:gridCol w:w="368"/>
        <w:gridCol w:w="368"/>
        <w:gridCol w:w="308"/>
        <w:gridCol w:w="109"/>
        <w:gridCol w:w="109"/>
        <w:gridCol w:w="109"/>
        <w:gridCol w:w="196"/>
        <w:gridCol w:w="436"/>
        <w:gridCol w:w="109"/>
        <w:gridCol w:w="109"/>
        <w:gridCol w:w="109"/>
        <w:gridCol w:w="109"/>
        <w:gridCol w:w="196"/>
        <w:gridCol w:w="751"/>
        <w:gridCol w:w="109"/>
        <w:gridCol w:w="109"/>
        <w:gridCol w:w="109"/>
        <w:gridCol w:w="109"/>
        <w:gridCol w:w="375"/>
        <w:gridCol w:w="376"/>
        <w:gridCol w:w="298"/>
        <w:gridCol w:w="109"/>
        <w:gridCol w:w="109"/>
        <w:gridCol w:w="109"/>
        <w:gridCol w:w="196"/>
        <w:gridCol w:w="661"/>
        <w:gridCol w:w="109"/>
        <w:gridCol w:w="109"/>
        <w:gridCol w:w="109"/>
        <w:gridCol w:w="109"/>
        <w:gridCol w:w="204"/>
        <w:gridCol w:w="597"/>
        <w:gridCol w:w="115"/>
        <w:gridCol w:w="109"/>
        <w:gridCol w:w="109"/>
        <w:gridCol w:w="109"/>
        <w:gridCol w:w="221"/>
        <w:gridCol w:w="391"/>
        <w:gridCol w:w="124"/>
        <w:gridCol w:w="109"/>
        <w:gridCol w:w="109"/>
        <w:gridCol w:w="109"/>
        <w:gridCol w:w="196"/>
        <w:gridCol w:w="661"/>
        <w:gridCol w:w="109"/>
        <w:gridCol w:w="109"/>
        <w:gridCol w:w="109"/>
        <w:gridCol w:w="109"/>
        <w:gridCol w:w="196"/>
        <w:gridCol w:w="751"/>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w:t>
              <w:br/>
              <w:t>Subscription</w:t>
              <w:br/>
              <w:t>Notes</w:t>
              <w:br/>
              <w:t xml:space="preserve">Receivable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br/>
              <w:t xml:space="preserve">Deficit </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Total</w:t>
              <w:br/>
              <w:t>Shareholders'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January 1, 2025</w:t>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21,281,247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329,073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(3,899,109)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(60,901)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1,146</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(23,386)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246,115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new common shares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(156,152)</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new common shares under stock compensation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317,120 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Cancellation of shares under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(15,830)</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new common shares under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44,993 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Collection on stock subscription notes receivable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Exercises of conversion feature of convertible note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31,007 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of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(410,563)</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(9,458)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21,706,804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341,727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(4,465,824)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(74,253)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1,082</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(19,121)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249,643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January 1, 2026</w:t>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21,972,432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355,458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(4,778,341)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(84,931)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895</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(10,537)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261,105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new common shares</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treasury stock</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(69,720)</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new common shares under stock compensation plan</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Cancellation of common shares under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(8,993)</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new common shares under employee stock purchase plan</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(381,936)</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1044"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22,462,623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225</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366,644</w:t>
            </w:r>
            <w:r>
              <w:rPr>
                <w:color w:val="000000"/>
              </w:rPr>
              <w:t>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(5,229,997)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(99,475)</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9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842</w:t>
            </w:r>
            <w:r>
              <w:rPr>
                <w:color w:val="000000"/>
              </w:rPr>
              <w:t> </w:t>
            </w:r>
          </w:p>
        </w:tc>
        <w:tc>
          <w:tcPr>
            <w:tcW w:w="11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(11,744)</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256,492</w:t>
            </w:r>
            <w:r>
              <w:rPr>
                <w:color w:val="000000"/>
              </w:rPr>
              <w:t> </w:t>
            </w:r>
          </w:p>
        </w:tc>
        <w:tc>
          <w:tcPr>
            <w:tcW w:w="15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color w:val="000000"/>
          <w:sz w:val="16"/>
        </w:rPr>
      </w:pPr>
      <w:r>
        <w:rPr>
          <w:rFonts w:ascii="Times New Roman;serif" w:hAnsi="Times New Roman;serif"/>
          <w:b w:val="false"/>
          <w:color w:val="000000"/>
          <w:sz w:val="16"/>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BOWMAN CONSULTING GROUP LTD.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CONDENSED CONSOLIDATED STATEMENTS OF CASH FLOWS</w:t>
      </w:r>
    </w:p>
    <w:p>
      <w:pPr>
        <w:pStyle w:val="TextBody"/>
        <w:bidi w:val="0"/>
        <w:spacing w:lineRule="auto" w:line="288" w:before="0" w:after="0"/>
        <w:jc w:val="center"/>
        <w:rPr>
          <w:rFonts w:ascii="Times New Roman;serif" w:hAnsi="Times New Roman;serif"/>
          <w:b/>
          <w:color w:val="000000"/>
          <w:sz w:val="14"/>
          <w:shd w:fill="FFFFFF" w:val="clear"/>
        </w:rPr>
      </w:pPr>
      <w:r>
        <w:rPr>
          <w:rFonts w:ascii="Times New Roman;serif" w:hAnsi="Times New Roman;serif"/>
          <w:b/>
          <w:color w:val="000000"/>
          <w:sz w:val="14"/>
          <w:shd w:fill="FFFFFF" w:val="clear"/>
        </w:rPr>
        <w:t>(Amounts in thousands)</w:t>
      </w:r>
    </w:p>
    <w:p>
      <w:pPr>
        <w:pStyle w:val="TextBody"/>
        <w:bidi w:val="0"/>
        <w:spacing w:lineRule="auto" w:line="288" w:before="0" w:after="0"/>
        <w:jc w:val="center"/>
        <w:rPr>
          <w:rFonts w:ascii="Times New Roman;serif" w:hAnsi="Times New Roman;serif"/>
          <w:b w:val="false"/>
          <w:i/>
          <w:color w:val="000000"/>
          <w:sz w:val="12"/>
        </w:rPr>
      </w:pPr>
      <w:r>
        <w:rPr>
          <w:rFonts w:ascii="Times New Roman;serif" w:hAnsi="Times New Roman;serif"/>
          <w:b w:val="false"/>
          <w:i/>
          <w:color w:val="000000"/>
          <w:sz w:val="12"/>
        </w:rPr>
        <w:t>(Unaudited)</w:t>
      </w:r>
    </w:p>
    <w:tbl>
      <w:tblPr>
        <w:tblW w:w="8787" w:type="dxa"/>
        <w:jc w:val="center"/>
        <w:tblInd w:w="0" w:type="dxa"/>
        <w:tblLayout w:type="fixed"/>
        <w:tblCellMar>
          <w:top w:w="28" w:type="dxa"/>
          <w:left w:w="28" w:type="dxa"/>
          <w:bottom w:w="28" w:type="dxa"/>
          <w:right w:w="28" w:type="dxa"/>
        </w:tblCellMar>
      </w:tblPr>
      <w:tblGrid>
        <w:gridCol w:w="2203"/>
        <w:gridCol w:w="1936"/>
        <w:gridCol w:w="1951"/>
        <w:gridCol w:w="218"/>
        <w:gridCol w:w="803"/>
        <w:gridCol w:w="121"/>
        <w:gridCol w:w="121"/>
        <w:gridCol w:w="121"/>
        <w:gridCol w:w="121"/>
        <w:gridCol w:w="218"/>
        <w:gridCol w:w="803"/>
        <w:gridCol w:w="171"/>
      </w:tblGrid>
      <w:tr>
        <w:trPr/>
        <w:tc>
          <w:tcPr>
            <w:tcW w:w="2203"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9"/>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4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4,265 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income to net cash provided by operating activities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 property, plant and equipment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9,978 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7,932 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5,133 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 of assets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Credit losses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745 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 based compensation</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9,694 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(12,185)</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discounts on notes payable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 net of acquisition of businesses</w:t>
            </w:r>
          </w:p>
        </w:tc>
        <w:tc>
          <w:tcPr>
            <w:tcW w:w="11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(8,112)</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(13,518)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(8,656)</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5,945 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expenses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5,573 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5,414 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10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3,705 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16,293 </w:t>
            </w:r>
          </w:p>
        </w:tc>
        <w:tc>
          <w:tcPr>
            <w:tcW w:w="1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(9,406)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assets and disposal of leases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internal-use software development costs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notes receivable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Acquisitions of businesses, net of cash acquired</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(1,559)</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Collections under stock subscription notes receivable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(10,058)</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(1,837)</w:t>
            </w:r>
          </w:p>
        </w:tc>
        <w:tc>
          <w:tcPr>
            <w:tcW w:w="1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Borrowings under revolving credit facility</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40,809 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22,515 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under notes payable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(13,309)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(8,919)</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on finance leases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(5,600)</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 from acquisitions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(1,171)</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purchase of treasury stock</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(2,316)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(3,894)</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(12,229)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(9,458)</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913 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financing activities</w:t>
            </w:r>
          </w:p>
        </w:tc>
        <w:tc>
          <w:tcPr>
            <w:tcW w:w="102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5,773 </w:t>
            </w:r>
          </w:p>
        </w:tc>
        <w:tc>
          <w:tcPr>
            <w:tcW w:w="12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(5,614)</w:t>
            </w:r>
          </w:p>
        </w:tc>
        <w:tc>
          <w:tcPr>
            <w:tcW w:w="1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increase in cash and cash equivalents</w:t>
            </w:r>
          </w:p>
        </w:tc>
        <w:tc>
          <w:tcPr>
            <w:tcW w:w="10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(580)</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8,842 </w:t>
            </w:r>
          </w:p>
        </w:tc>
        <w:tc>
          <w:tcPr>
            <w:tcW w:w="1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beginning of period</w:t>
            </w:r>
          </w:p>
        </w:tc>
        <w:tc>
          <w:tcPr>
            <w:tcW w:w="102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11,066 </w:t>
            </w:r>
          </w:p>
        </w:tc>
        <w:tc>
          <w:tcPr>
            <w:tcW w:w="12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6,698 </w:t>
            </w:r>
          </w:p>
        </w:tc>
        <w:tc>
          <w:tcPr>
            <w:tcW w:w="1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end of period</w:t>
            </w:r>
          </w:p>
        </w:tc>
        <w:tc>
          <w:tcPr>
            <w:tcW w:w="2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10,486 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15,540 </w:t>
            </w:r>
          </w:p>
        </w:tc>
        <w:tc>
          <w:tcPr>
            <w:tcW w:w="17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114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3,812 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paid for income taxes</w:t>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2,111 </w:t>
            </w:r>
          </w:p>
        </w:tc>
        <w:tc>
          <w:tcPr>
            <w:tcW w:w="1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681 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Non-cash investing and financing activities:</w:t>
            </w:r>
          </w:p>
        </w:tc>
        <w:tc>
          <w:tcPr>
            <w:tcW w:w="114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acquired under finance lease</w:t>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(22,377)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(10,144)</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additions to property and equipment</w:t>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(1,044)</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Note payable converted to common shares</w:t>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(434)</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notes payable for acquisitions</w:t>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(600)</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(2,056)</w:t>
            </w:r>
          </w:p>
        </w:tc>
        <w:tc>
          <w:tcPr>
            <w:tcW w:w="1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change in contingent consideration liability</w:t>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(2,288)</w:t>
            </w:r>
          </w:p>
        </w:tc>
        <w:tc>
          <w:tcPr>
            <w:tcW w:w="1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of contingent consideration</w:t>
            </w:r>
          </w:p>
        </w:tc>
        <w:tc>
          <w:tcPr>
            <w:tcW w:w="21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2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2,338 </w:t>
            </w:r>
          </w:p>
        </w:tc>
        <w:tc>
          <w:tcPr>
            <w:tcW w:w="17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Times New Roman;serif" w:hAnsi="Times New Roman;serif"/>
          <w:b w:val="false"/>
          <w:color w:val="000000"/>
          <w:sz w:val="16"/>
        </w:rPr>
        <w:t>The accompanying notes are an integral part of these unaudited condensed consolidated financial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BOWMAN CONSULTING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 Nature of Business and Basis of Presentation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Nature of Business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Bowman Consulting Group Ltd. and consolidated subsidiaries, (“Bowman” or “we” or the “Company”) incorporated in the Commonwealth of Virginia on June 5, 1995 and reincorporated in the State of Delaware on November 13, 2020. Bowman is a professional services firm delivering innovative solutions to the marketplace of customers who own, develop and maintain the built environment. Within that arena, we provide planning, design, engineering, geospatial, survey, construction management, environmental consulting and land procurement services to markets that encompass the buildings in which people live, work and learn in; as well as the systems that provide water, electricity and other vital services, and the roads, bridges, and transportation systems used to get from place to place. We provide services to customers through fixed-price and time-and-material based contracts containing multiple milestones and independently priced deliverables. Typically, contract awards are on a negotiated basis, ranging in value from a few thousand dollars to multiple millions of dollars and can have varying durations depending on the size, scope, and complexity of the project.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Company’s workforce typically provides the full scope of engineering and other contract services. However, with respect to certain specialty services or other compliance requirements within a particular contract, we may engage third-party sub-consultants. The Company’s headquarters is located in Reston, VA and the Company has over 100 offices throughout the United States and four offices in Mexico.</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accompanying unaudited condensed consolidated financial statements and footnotes of the Company have been prepared in accordance with generally accepted accounting principles in the United States of America (“U.S. GAAP”) and applicable regulations of the Securities and Exchange Commission (“SEC”) regarding interim financial information. In the opinion of management, the interim financial information includes all adjustments of a normal recurring nature necessary for a fair presentation of the results of operations, financial position, changes in shareholders’ equity and cash flows. The results of operations for the current period are not necessarily indicative of the results for the full year or the results for any future periods.</w:t>
      </w:r>
    </w:p>
    <w:p>
      <w:pPr>
        <w:pStyle w:val="TextBody"/>
        <w:bidi w:val="0"/>
        <w:spacing w:lineRule="auto" w:line="288" w:before="24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unaudited condensed consolidated financial statements should be read in conjunction with the audited consolidated financial statements and related footnotes included in the Company’s Annual Report on Form 10-K for the fiscal year ended December 31, 2025 filed with the SEC on March 5, 2026.</w:t>
      </w:r>
    </w:p>
    <w:p>
      <w:pPr>
        <w:pStyle w:val="TextBody"/>
        <w:bidi w:val="0"/>
        <w:spacing w:lineRule="auto" w:line="28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accompanying unaudited condensed consolidated financial statements include the accounts of the Company and its wholly owned subsidiaries. All intercompany accounts and transactions have been eliminated in consolidation.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On August 9, 2026, the Company entered into a definitive agreement to be acquired by affiliates of Bernhard Capital Partners in an all-cash merger transaction. See Note 17 - Subsequent Events for additional information regarding the proposed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is a summary of the significant accounting policies and principles used in the preparation of the condensed consolidated financial statements: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Emerging Growth Company</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Section 102(b)(1) of the Jumpstart Our Business Startups Act (“JOBS Act”) exempts emerging growth companies (“EGC”)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non-EGC but any such election to opt out is irrevocable. The Company has elected not to opt out of such extended transition period which means that when a standard is issued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revised and it has different application dates for public or private companies, the Company, as an EGC, can adopt the new or revised standard at the time private companies adopt the new or revised standard. This may make comparison of the Company’s financial statements with another public company that is either not an EGC or, an EGC that has opted out of using the extended transition period, difficult or impossible because of the potential differences in accounting standards used.</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no longer be classified as an EGC at December 31, 2026, which is the end of the fiscal year following the fifth anniversary of the completion of its initial public offering. As a result, we will be required to comply with all public company reporting requirements applicable to non-EGC registrants.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Revenue Recognition </w:t>
      </w:r>
    </w:p>
    <w:p>
      <w:pPr>
        <w:pStyle w:val="TextBody"/>
        <w:bidi w:val="0"/>
        <w:spacing w:lineRule="auto" w:line="28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discussed in Note 1, the Company provides a variety of engineering and related professional services to customers located throughout the United States. The Company enters into agreements with customers that create enforceable rights and obligations and for which it is probable that the Company will collect the consideration to which it will be entitled as services transfer to the customer. It is customary practice for the Company to have written agreements with its customers and revenue on oral or implied arrangements is generally not recognized. The Company recognizes revenue based on the consideration specified in the applicable agreement. Excluded from the transaction price are amounts collected on behalf of third parties for sales and similar taxes.</w:t>
      </w:r>
    </w:p>
    <w:p>
      <w:pPr>
        <w:pStyle w:val="TextBody"/>
        <w:bidi w:val="0"/>
        <w:spacing w:lineRule="auto" w:line="28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Long-term contracts typically contain billing terms that provide for invoicing once a month and payment on a net 30-day basis. Exceptions to monthly billing terms are to ensure that the Company performs satisfactorily rather than representing a significant financing component. For example, fixed price contracts may provide for milestone billings based upon the attainment of specific project objectives to ensure the Company meets its contractual requirements rather than having billing monthly. Additionally, contracts may include retentions or holdbacks paid at the end of a project to ensure that the Company meets the contract requirements. The Company does not assess whether a contract contains a significant financing component if the Company expects, at contract inception, that the period between payment by the customer and the transfer of promised services to the customer will be less than one year.</w:t>
      </w:r>
    </w:p>
    <w:p>
      <w:pPr>
        <w:pStyle w:val="TextBody"/>
        <w:bidi w:val="0"/>
        <w:spacing w:lineRule="auto" w:line="28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professional services engineering firm, the Company generally recognizes revenue over time as control transfers to a customer based upon the extent of progress towards satisfaction of the performance obligation.</w:t>
      </w:r>
    </w:p>
    <w:p>
      <w:pPr>
        <w:pStyle w:val="TextBody"/>
        <w:bidi w:val="0"/>
        <w:spacing w:lineRule="auto" w:line="28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services delivered under fixed price contracts, the Company uses the ratio of actual costs incurred to total estimated costs, since costs incurred (an input method) represents a reasonable measure of progress towards the satisfaction of a performance obligation in order to estimate the portion of revenue earned. This method faithfully depicts the transfer of value to the customer when the Company is satisfying a performance obligation that entails a number of interrelated tasks or activities for a combined output that requires the Company to coordinate the work of employees and sub-consultants. Contract costs typically include direct labor, subcontract and consultant costs, materials and indirect costs related to contract performance. Changes in estimated costs to complete these obligations result in adjustments to revenue on a cumulative catch-up basis, which causes the effect of revised estimates to be recognized in the current period. Changes in estimates can routinely occur over the contract term for a variety of reasons including, changes in scope, unanticipated costs, delays or favorable or unfavorable progress than original expectations. In situations where the estimated costs to perform exceed the consideration to be received, the Company accrues the entire estimated loss during the period the loss becomes known.</w:t>
      </w:r>
    </w:p>
    <w:p>
      <w:pPr>
        <w:pStyle w:val="TextBody"/>
        <w:bidi w:val="0"/>
        <w:spacing w:lineRule="auto" w:line="28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When a performance obligation is billed using a time-and-material type contract, the Company measures its progress to complete based upon the hours incurred for the period times contractually agreed upon billing rates plus any materials delivered or consumed in the project. When applicable, the Company will recognize revenue under these contracts as invoiced under the practical expedient.</w:t>
      </w:r>
    </w:p>
    <w:p>
      <w:pPr>
        <w:pStyle w:val="TextBody"/>
        <w:bidi w:val="0"/>
        <w:spacing w:lineRule="auto" w:line="28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certain situations, it is possible that two or more contracts should be combined and accounted for as a single contract, or a single contract should be accounted for as multiple performance obligations. This requires significant judgment and could impact the amount and timing of revenue recognition. Such determinations are made using management’s best estimate and knowledge of contracts and related performance obligations.</w:t>
      </w:r>
    </w:p>
    <w:p>
      <w:pPr>
        <w:pStyle w:val="TextBody"/>
        <w:bidi w:val="0"/>
        <w:spacing w:lineRule="auto" w:line="28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contracts may contain variable consideration in the form of unpriced or pending change orders or claims that either increase or decrease the contract price. Variable consideration is generally estimated using the expected value method but may from time to time be estimated using the most likely amount method depending on the circumstance. Estimated amounts are included in the transaction price to the extent it is probable that a significant reversal of cumulative revenue recognized will not occur or when the uncertainty associated with the variable consideration is resolved. Estimates of variable consideration are based upon historical experience and known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recognizes claims against vendors, sub-consultants, and others as a reduction in costs when the contract establishes enforceability, and the amounts of recovery are reasonably estimable and probable. Reduction in costs are recognized at the lesser of the amount management expects to recover or costs incurred.</w:t>
      </w:r>
    </w:p>
    <w:p>
      <w:pPr>
        <w:pStyle w:val="TextBody"/>
        <w:bidi w:val="0"/>
        <w:spacing w:lineRule="auto" w:line="28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Contract related assets and liabilities are classified as current assets and current liabilities. Significant balance sheet accounts related to the revenue cycle are as follows:</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Contract Assets:</w:t>
      </w:r>
    </w:p>
    <w:p>
      <w:pPr>
        <w:pStyle w:val="TextBody"/>
        <w:bidi w:val="0"/>
        <w:spacing w:lineRule="auto" w:line="28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Contract Assets are recorded when progress to completion revenue earned on contracts exceeds amounts billed under the contract. It may also include contract retainages that can be billed once contract stipulations are satisfied.</w:t>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Contract Liabilities:</w:t>
      </w:r>
    </w:p>
    <w:p>
      <w:pPr>
        <w:pStyle w:val="TextBody"/>
        <w:bidi w:val="0"/>
        <w:spacing w:lineRule="auto" w:line="268" w:before="120" w:after="283"/>
        <w:ind w:left="0" w:right="0" w:firstLine="468"/>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Contract Liabilities are recorded when amounts billed under a contract exceeds the progress to completion revenue earned under the contract.</w:t>
      </w:r>
    </w:p>
    <w:p>
      <w:pPr>
        <w:pStyle w:val="TextBody"/>
        <w:bidi w:val="0"/>
        <w:spacing w:before="120" w:after="283"/>
        <w:jc w:val="both"/>
        <w:rPr/>
      </w:pPr>
      <w:r>
        <w:rPr/>
      </w:r>
    </w:p>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Accounts Receivable, net and Expected Credit Losses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Accounts receivable, net (contract receivables), include amounts billed in accordance with the terms of customer contracts and are stated at their net realizable value. The Company maintains an allowance for expected credit losses for the estimated portion of receivables that may not be collected. Expected credit losses are determined based on management’s assessment of the collectability of specific accounts, taking into consideration factors such as customer type, creditworthiness, and financial condition, as well as accounts receivable aging trends for billed receivables. The allowance also includes a general provision based on the Company’s historical loss experience and prevailing economic conditions.</w:t>
      </w:r>
    </w:p>
    <w:p>
      <w:pPr>
        <w:pStyle w:val="TextBody"/>
        <w:bidi w:val="0"/>
        <w:spacing w:lineRule="auto" w:line="288" w:before="240" w:after="283"/>
        <w:ind w:left="0" w:right="0" w:firstLine="468"/>
        <w:jc w:val="both"/>
        <w:rPr/>
      </w:pPr>
      <w:r>
        <w:rPr>
          <w:rFonts w:ascii="Times New Roman;serif" w:hAnsi="Times New Roman;serif"/>
          <w:b w:val="false"/>
          <w:color w:val="000000"/>
          <w:sz w:val="20"/>
        </w:rPr>
        <w:t xml:space="preserve">Upon determination that a specific receivable is uncollectible, the receivable is written off against the allowance for expected credit losses.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the balance in the allowance for expected credit losses</w:t>
      </w:r>
      <w:r>
        <w:rPr>
          <w:color w:val="000000"/>
        </w:rPr>
        <w:t xml:space="preserve"> </w:t>
      </w:r>
      <w:r>
        <w:rPr>
          <w:rFonts w:ascii="Times New Roman;serif" w:hAnsi="Times New Roman;serif"/>
          <w:b w:val="false"/>
          <w:color w:val="000000"/>
          <w:sz w:val="20"/>
        </w:rPr>
        <w:t>was $4.2 million and $3.7 million, respectively. N</w:t>
      </w:r>
      <w:r>
        <w:rPr>
          <w:rFonts w:ascii="Times New Roman;serif" w:hAnsi="Times New Roman;serif"/>
          <w:b w:val="false"/>
          <w:color w:val="000000"/>
          <w:sz w:val="20"/>
          <w:shd w:fill="FFFFFF" w:val="clear"/>
        </w:rPr>
        <w:t>o single customer accounted for more than 10% of the Company's outstanding receivables as of either date.</w:t>
      </w:r>
    </w:p>
    <w:p>
      <w:pPr>
        <w:pStyle w:val="TextBody"/>
        <w:bidi w:val="0"/>
        <w:spacing w:lineRule="auto" w:line="288" w:before="240" w:after="283"/>
        <w:ind w:left="0" w:right="0" w:firstLine="468"/>
        <w:jc w:val="both"/>
        <w:rPr/>
      </w:pPr>
      <w:r>
        <w:rPr>
          <w:rFonts w:ascii="Times New Roman;serif" w:hAnsi="Times New Roman;serif"/>
          <w:b w:val="false"/>
          <w:color w:val="000000"/>
          <w:sz w:val="20"/>
          <w:shd w:fill="FFFFFF" w:val="clear"/>
        </w:rPr>
        <w:t xml:space="preserve">The following table presents the activity in the allowance for credit losses for the six months ended </w:t>
      </w:r>
      <w:r>
        <w:rPr>
          <w:rFonts w:ascii="Times New Roman;serif" w:hAnsi="Times New Roman;serif"/>
          <w:b w:val="false"/>
          <w:color w:val="000000"/>
          <w:sz w:val="20"/>
        </w:rPr>
        <w:t>June 30, 2026 (in thousands):</w:t>
      </w:r>
    </w:p>
    <w:tbl>
      <w:tblPr>
        <w:tblW w:w="3800" w:type="dxa"/>
        <w:jc w:val="left"/>
        <w:tblInd w:w="0" w:type="dxa"/>
        <w:tblLayout w:type="fixed"/>
        <w:tblCellMar>
          <w:top w:w="28" w:type="dxa"/>
          <w:left w:w="28" w:type="dxa"/>
          <w:bottom w:w="28" w:type="dxa"/>
          <w:right w:w="28" w:type="dxa"/>
        </w:tblCellMar>
      </w:tblPr>
      <w:tblGrid>
        <w:gridCol w:w="1021"/>
        <w:gridCol w:w="896"/>
        <w:gridCol w:w="902"/>
        <w:gridCol w:w="211"/>
        <w:gridCol w:w="61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3,696 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credit losses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4,191 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vary from the estimates and assumptions that were used.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Concentration of Credit Risk and other Concentrations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financial instruments that are exposed to concentrations of credit risk consist of cash and accounts receivable.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Cash balances at various times during the year may exceed the amount insured by the Federal Deposit Insurance Corporation. The Company’s cash deposits are held in institutions whose credit ratings are monitored by management, and the Company has not incurred any losses related to such deposits.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can, at times, be subject to a concentration of credit risk with respect to outstanding accounts receivable. However, the Company believes no such concentration existed during the six months ended June 30, 2026, or for the year ended December 31, 2025. The Company’s customers are located throughout the United States across diverse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market sectors. Although the Company generally grants credit without collateral, management believes that its contract acceptance, billing, and collection policies are adequate to minimize material credit risk. Also, for non-governmental customers, the Company can often place mechanics liens against the real property associated with the contract in the event of non-payment. </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Variable Interest Entities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have an economic interest in an entity that is a variable interest entity. Variable interest entities (“VIEs”) are entities in which equity investors lack the characteristics of a controlling financial interest or do not have sufficient equity at risk for the entity to finance its activities without additional subordinated financial support. VIEs are consolidated by the primary beneficiary. The primary beneficiary is the party who has the power to direct the activities of a variable interest entity that most significantly impact the entity’s economic performance and who has an obligation to absorb losses of the entity or a right to receive benefits from the entity that could potentially be significant to the entity. On April 2, 2024, the Company through a newly created, wholly owned subsidiary, acquired 100% of the outstanding stock of Surdex Corporation ("Surdex"). The wholly owned subsidiary was then merged into Surdex, with Surdex being the surviving entity. Concurrently, Hoffman Aviation Services, Inc. ("HAS") was established and is wholly owned by the former shareholders of Surdex Corporation. HAS was established for the purpose of providing services exclusively to Surdex. The Company was determined to be the primary beneficiary; therefore, HAS has been consolidated into the Company's financial results, with all intercompany transactions eliminated during the consolidation process.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To determine if we are the primary beneficiary, we assess whether we possess the power to direct the activities that most significantly influence the VIE's economic performance, as well as the obligation to absorb losses or the right to receive benefits that could be materially significant to the VIE. Our evaluation includes identification of significant activities and an assessment of our ability to direct those activities based on governance provisions and arrangements to provide services to the VIE. Periodically, we assess whether any changes in our interest or relationship with the entity affect our determination of whether the entity is a VIE and, if so, whether we are the primary beneficiary.</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carrying amounts of the VIE’s assets and liabilities included in the Company’s condensed consolidated balance sheets are not material. The VIE’s assets consist primarily of cash and are included within current assets, and its liabilities, if any, are included within current liabilities.</w:t>
      </w:r>
    </w:p>
    <w:p>
      <w:pPr>
        <w:pStyle w:val="TextBody"/>
        <w:bidi w:val="0"/>
        <w:spacing w:before="0" w:after="0"/>
        <w:jc w:val="both"/>
        <w:rPr/>
      </w:pPr>
      <w:r>
        <w:rPr/>
      </w:r>
    </w:p>
    <w:p>
      <w:pPr>
        <w:pStyle w:val="TextBody"/>
        <w:bidi w:val="0"/>
        <w:spacing w:lineRule="auto" w:line="276" w:before="0" w:after="0"/>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assets of the VIE can be used to settle its obligations, and there are no restrictions on the use of those assets or on the settlement of its liabilities. Creditors of the VIE do not have recourse to the general credit of the Company. The Company does not have any explicit or implicit arrangements, including liquidity agreements or guarantees, that would require the Company to provide financial support to the VIE. The Company has not provided, and is not contractually obligated to provide, financial support to the VIE. There are no events or circumstances that would require the Company to provide additional financial support to the VIE.</w:t>
      </w:r>
    </w:p>
    <w:p>
      <w:pPr>
        <w:pStyle w:val="TextBody"/>
        <w:bidi w:val="0"/>
        <w:spacing w:before="0" w:after="0"/>
        <w:jc w:val="both"/>
        <w:rPr/>
      </w:pPr>
      <w:r>
        <w:rPr/>
      </w:r>
    </w:p>
    <w:p>
      <w:pPr>
        <w:pStyle w:val="TextBody"/>
        <w:bidi w:val="0"/>
        <w:spacing w:lineRule="auto" w:line="276" w:before="0" w:after="0"/>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Company’s involvement with the VIE exposes it to risks associated with the operations of the entity, including the potential obligation to absorb losses or the right to receive benefits that could be significant. There have been no significant changes in the nature of the Company’s involvement or the risks associated with that involvement during the period presented.</w:t>
      </w:r>
    </w:p>
    <w:p>
      <w:pPr>
        <w:pStyle w:val="TextBody"/>
        <w:bidi w:val="0"/>
        <w:spacing w:before="0" w:after="0"/>
        <w:jc w:val="both"/>
        <w:rPr/>
      </w:pPr>
      <w:r>
        <w:rPr/>
      </w:r>
    </w:p>
    <w:p>
      <w:pPr>
        <w:pStyle w:val="TextBody"/>
        <w:bidi w:val="0"/>
        <w:spacing w:lineRule="auto" w:line="276" w:before="0" w:after="0"/>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assets, liabilities, and results of operations of the consolidated VIE are included in the Company’s condensed consolidated financial statements and are not material to the Company’s financial position, results of operations, or cash flows.</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120" w:after="283"/>
        <w:ind w:left="0" w:right="0" w:firstLine="468"/>
        <w:jc w:val="both"/>
        <w:rPr/>
      </w:pPr>
      <w:r>
        <w:rPr>
          <w:rFonts w:ascii="Times New Roman;serif" w:hAnsi="Times New Roman;serif"/>
          <w:b w:val="false"/>
          <w:color w:val="000000"/>
          <w:sz w:val="20"/>
        </w:rPr>
        <w:t xml:space="preserve">Accounting Standards Codification Topic 820, </w:t>
      </w:r>
      <w:r>
        <w:rPr>
          <w:rFonts w:ascii="Times New Roman;serif" w:hAnsi="Times New Roman;serif"/>
          <w:b w:val="false"/>
          <w:i/>
          <w:color w:val="000000"/>
          <w:sz w:val="20"/>
        </w:rPr>
        <w:t>Fair Value Measurements and Disclosures</w:t>
      </w:r>
      <w:r>
        <w:rPr>
          <w:color w:val="000000"/>
        </w:rPr>
        <w:t xml:space="preserve"> </w:t>
      </w:r>
      <w:r>
        <w:rPr>
          <w:rFonts w:ascii="Times New Roman;serif" w:hAnsi="Times New Roman;serif"/>
          <w:b w:val="false"/>
          <w:color w:val="000000"/>
          <w:sz w:val="20"/>
        </w:rPr>
        <w:t>(“ASC Topic 820”) provides the framework for measuring and reporting financial assets and liabilities at fair value. ASC Topic 820 defines fair value as the price that would be received to sell an asset or paid to transfer a liability (an exit price) in the principal or most advantageous market for the asset or liability in an orderly transaction between market participants on the measurement date.</w:t>
      </w:r>
    </w:p>
    <w:p>
      <w:pPr>
        <w:pStyle w:val="TextBody"/>
        <w:bidi w:val="0"/>
        <w:spacing w:lineRule="auto" w:line="288" w:before="24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 xml:space="preserve">The codification establishes a three-level disclosure hierarchy to indicate the level of judgment used to estimate fair value measurements: </w:t>
      </w:r>
    </w:p>
    <w:p>
      <w:pPr>
        <w:pStyle w:val="TextBody"/>
        <w:bidi w:val="0"/>
        <w:spacing w:lineRule="auto" w:line="288" w:before="120" w:after="283"/>
        <w:jc w:val="left"/>
        <w:rPr/>
      </w:pPr>
      <w:r>
        <w:rPr>
          <w:rFonts w:ascii="Times New Roman;serif" w:hAnsi="Times New Roman;serif"/>
          <w:b/>
          <w:color w:val="000000"/>
          <w:sz w:val="20"/>
        </w:rPr>
        <w:t>Level 1:    </w:t>
      </w:r>
      <w:r>
        <w:rPr>
          <w:rFonts w:ascii="Times New Roman;serif" w:hAnsi="Times New Roman;serif"/>
          <w:b w:val="false"/>
          <w:color w:val="000000"/>
          <w:sz w:val="20"/>
        </w:rPr>
        <w:t>Quoted prices in active markets for identical assets or liabilities as of the reporting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pPr>
      <w:r>
        <w:rPr>
          <w:rFonts w:ascii="Times New Roman;serif" w:hAnsi="Times New Roman;serif"/>
          <w:b/>
          <w:color w:val="000000"/>
          <w:sz w:val="20"/>
        </w:rPr>
        <w:t>Level 2:    </w:t>
      </w:r>
      <w:r>
        <w:rPr>
          <w:rFonts w:ascii="Times New Roman;serif" w:hAnsi="Times New Roman;serif"/>
          <w:b w:val="false"/>
          <w:color w:val="000000"/>
          <w:sz w:val="20"/>
        </w:rPr>
        <w:t>Quoted prices for similar assets or liabilities in active markets; quoted prices for identical or similar assets or liabilities in markets that are not active; and inputs other than quoted prices (such as interest rate and yield curves);</w:t>
      </w:r>
    </w:p>
    <w:p>
      <w:pPr>
        <w:pStyle w:val="TextBody"/>
        <w:bidi w:val="0"/>
        <w:spacing w:lineRule="auto" w:line="288" w:before="120" w:after="283"/>
        <w:jc w:val="left"/>
        <w:rPr/>
      </w:pPr>
      <w:r>
        <w:rPr>
          <w:rFonts w:ascii="Times New Roman;serif" w:hAnsi="Times New Roman;serif"/>
          <w:b/>
          <w:color w:val="000000"/>
          <w:sz w:val="20"/>
        </w:rPr>
        <w:t>Level 3:    </w:t>
      </w:r>
      <w:r>
        <w:rPr>
          <w:rFonts w:ascii="Times New Roman;serif" w:hAnsi="Times New Roman;serif"/>
          <w:b w:val="false"/>
          <w:color w:val="000000"/>
          <w:sz w:val="20"/>
        </w:rPr>
        <w:t>Uses inputs that are unobservable, supported by little or no market activity and reflect significant management judgment.</w:t>
      </w:r>
    </w:p>
    <w:p>
      <w:pPr>
        <w:pStyle w:val="TextBody"/>
        <w:bidi w:val="0"/>
        <w:spacing w:lineRule="auto" w:line="288" w:before="360" w:after="283"/>
        <w:ind w:left="0" w:right="0" w:firstLine="556"/>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 xml:space="preserve">The carrying amount of cash and cash equivalents, accounts receivable, accounts payable and accrued liabilities approximate their fair value due to the relatively short duration of these instruments;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carrying amounts of debt obligations approximate their fair values as the terms are comparable to terms currently offered by local financial institutions for arrangements with similar terms to industry peers with comparable credit characteristics. Accordingly, the debt obligations involve Level 3 fair value inputs;</w:t>
      </w:r>
    </w:p>
    <w:p>
      <w:pPr>
        <w:pStyle w:val="TextBody"/>
        <w:bidi w:val="0"/>
        <w:spacing w:before="0" w:after="0"/>
        <w:jc w:val="left"/>
        <w:rPr/>
      </w:pPr>
      <w:r>
        <w:rPr/>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Fair value measurements relating to our business combinations are made primarily using Level 3 inputs including discounted cash flow, Binomial Lattice Model, and to the extent applicable, Monte Carlo simulation techniques. Fair value for the identified intangible assets is generally estimated using inputs primarily for the income approach using the multiple period excess earnings method. The significant assumptions used in estimating fair value include (i) revenue projections of the business, including contract costs and EBITDA, (ii) attrition rates and (iii) the estimated discount rate that reflects the level of risk associated with receiving future cash flows. Other personal property assets, such as property and equipment, are valued using the cost approach, which is based on replacement or reproduction costs of the asset less depreciation. The fair value of the contingent consideration is estimated using published treasury rates in the Wall St. Journal and discounting the present value along with other significant assumptions which include projections of revenue, and probabilities of meeting those projections, as well as Monte Carlo simulation techniques.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change in contingent consideration:</w:t>
      </w:r>
    </w:p>
    <w:tbl>
      <w:tblPr>
        <w:tblW w:w="10205" w:type="dxa"/>
        <w:jc w:val="center"/>
        <w:tblInd w:w="0" w:type="dxa"/>
        <w:tblLayout w:type="fixed"/>
        <w:tblCellMar>
          <w:top w:w="28" w:type="dxa"/>
          <w:left w:w="28" w:type="dxa"/>
          <w:bottom w:w="28" w:type="dxa"/>
          <w:right w:w="28" w:type="dxa"/>
        </w:tblCellMar>
      </w:tblPr>
      <w:tblGrid>
        <w:gridCol w:w="1404"/>
        <w:gridCol w:w="1207"/>
        <w:gridCol w:w="1217"/>
        <w:gridCol w:w="686"/>
        <w:gridCol w:w="2006"/>
        <w:gridCol w:w="354"/>
        <w:gridCol w:w="109"/>
        <w:gridCol w:w="109"/>
        <w:gridCol w:w="109"/>
        <w:gridCol w:w="644"/>
        <w:gridCol w:w="1882"/>
        <w:gridCol w:w="478"/>
      </w:tblGrid>
      <w:tr>
        <w:trPr/>
        <w:tc>
          <w:tcPr>
            <w:tcW w:w="14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r>
      <w:tr>
        <w:trPr/>
        <w:tc>
          <w:tcPr>
            <w:tcW w:w="38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0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Year Ended December 31, 2025</w:t>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6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6,652 </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contingent consideration issuances</w:t>
            </w:r>
          </w:p>
        </w:tc>
        <w:tc>
          <w:tcPr>
            <w:tcW w:w="2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2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contingent consideration</w:t>
            </w:r>
          </w:p>
        </w:tc>
        <w:tc>
          <w:tcPr>
            <w:tcW w:w="2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6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3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468"/>
        <w:jc w:val="both"/>
        <w:rPr/>
      </w:pPr>
      <w:r>
        <w:rPr>
          <w:rFonts w:ascii="Times New Roman;serif" w:hAnsi="Times New Roman;serif"/>
          <w:b w:val="false"/>
          <w:color w:val="000000"/>
          <w:sz w:val="20"/>
        </w:rPr>
        <w:t xml:space="preserve">The change in fair value consideration is included in </w:t>
      </w:r>
      <w:r>
        <w:rPr>
          <w:rFonts w:ascii="Times New Roman;serif" w:hAnsi="Times New Roman;serif"/>
          <w:b w:val="false"/>
          <w:i/>
          <w:color w:val="000000"/>
          <w:sz w:val="20"/>
        </w:rPr>
        <w:t>Other Expense</w:t>
      </w:r>
      <w:r>
        <w:rPr>
          <w:color w:val="000000"/>
        </w:rPr>
        <w:t xml:space="preserve"> </w:t>
      </w:r>
      <w:r>
        <w:rPr>
          <w:rFonts w:ascii="Times New Roman;serif" w:hAnsi="Times New Roman;serif"/>
          <w:b w:val="false"/>
          <w:color w:val="000000"/>
          <w:sz w:val="20"/>
        </w:rPr>
        <w:t>in the Condensed Consolidated Income Statement.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Company recognizes deferred income tax assets or liabilities for expected future tax consequences of events recognized in the condensed consolidated financial statements or tax returns. Under this method, deferred income tax assets or liabilities are determined based upon the difference between the financial statement and income tax bases of assets and liabilities using enacted tax rates expected to apply when the differences settle or become realized. Valuation allowances are provided when it is more likely than not that a deferred tax asset is not realizable or recoverable in the future. As of June 30, 2026, no valuation allowances are required, and all deferred tax assets are realizable.</w:t>
      </w:r>
    </w:p>
    <w:p>
      <w:pPr>
        <w:pStyle w:val="TextBody"/>
        <w:bidi w:val="0"/>
        <w:spacing w:before="0" w:after="0"/>
        <w:ind w:left="0" w:right="0" w:firstLine="468"/>
        <w:jc w:val="both"/>
        <w:rPr/>
      </w:pPr>
      <w:r>
        <w:rPr/>
      </w:r>
    </w:p>
    <w:p>
      <w:pPr>
        <w:pStyle w:val="TextBody"/>
        <w:bidi w:val="0"/>
        <w:spacing w:lineRule="auto" w:line="276" w:before="0" w:after="0"/>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assesses uncertain tax positions to determine whether income tax positions will more likely than not be sustained upon examination by the Internal Revenue Service or other taxing authorities. If the Company cannot reach a more-likely-than-not determination, no benefit is recorded. If the Company determines that the tax position is more likely than not to be sustained, the Company records the largest amount of benefit that is more likely than not to be realized when the tax position is settled. The Company recognizes interest and penalties, if any, related to uncertain tax positions in income tax expense. </w:t>
      </w:r>
    </w:p>
    <w:p>
      <w:pPr>
        <w:pStyle w:val="TextBody"/>
        <w:bidi w:val="0"/>
        <w:spacing w:before="0" w:after="0"/>
        <w:ind w:left="0" w:right="0" w:firstLine="468"/>
        <w:jc w:val="both"/>
        <w:rPr/>
      </w:pPr>
      <w:r>
        <w:rPr/>
      </w:r>
    </w:p>
    <w:p>
      <w:pPr>
        <w:pStyle w:val="TextBody"/>
        <w:bidi w:val="0"/>
        <w:spacing w:lineRule="auto" w:line="276" w:before="0" w:after="0"/>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for the six months ended June 30, 2026 and June 30, 2025, was (25.7)% and 33.7%, respectively. The change in the Company’s effective tax rate is predominantly due to certain non-recurring discrete items, as discussed below.</w:t>
      </w:r>
    </w:p>
    <w:p>
      <w:pPr>
        <w:pStyle w:val="TextBody"/>
        <w:bidi w:val="0"/>
        <w:spacing w:before="0" w:after="0"/>
        <w:ind w:left="0" w:right="0" w:firstLine="468"/>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The tax expense for shortfalls on stock awards was $0.3 million for the six months ended June 30, 2026, compared to the tax benefit for windfalls of $0.3 million for the six months ended June 30, 2025. Further, there was no interest on uncertain tax positions for the six months ended June 30, 2026, compared to $1.5 million for the six months ended June 30, 2025. These factors as a function of pre-tax book loss of $1.0 million for the six months ended June 30, 2026, compared to pre-tax book income of $6.4 million for the six months ended June 30, 2025, decreased the rate by 35.2% for the six months ended June 30, 2026, compared to an increase of 21.3% for the six months ended June 30, 2025.</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Company files income tax returns in the U.S. federal jurisdiction and certain states in which it operates. Based on the timing of the filing of such tax returns, the Company’s federal income tax returns for tax years 2022 and thereafter remain subject to examination by the U.S. Internal Revenue Service. The statute of limitations on the Company’s state income tax returns generally conforms to the federal three-year statute of limitations.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240" w:after="283"/>
        <w:ind w:left="0" w:right="0" w:firstLine="468"/>
        <w:jc w:val="both"/>
        <w:rPr/>
      </w:pPr>
      <w:r>
        <w:rPr>
          <w:rFonts w:ascii="Times New Roman;serif" w:hAnsi="Times New Roman;serif"/>
          <w:b w:val="false"/>
          <w:color w:val="000000"/>
          <w:sz w:val="20"/>
        </w:rPr>
        <w:t xml:space="preserve">The Company operates in one segment based upon the financial information used by its chief operating decision maker in evaluating the financial performance of its business and allocating resources. The single segment represents the Company’s core business of providing engineering and related professional services to its customers. See Note 16 </w:t>
      </w:r>
      <w:r>
        <w:rPr>
          <w:rFonts w:ascii="Times New Roman;serif" w:hAnsi="Times New Roman;serif"/>
          <w:b w:val="false"/>
          <w:i/>
          <w:color w:val="000000"/>
          <w:sz w:val="20"/>
        </w:rPr>
        <w:t>Segment Information</w:t>
      </w:r>
      <w:r>
        <w:rPr>
          <w:color w:val="000000"/>
        </w:rPr>
        <w:t xml:space="preserve"> </w:t>
      </w:r>
      <w:r>
        <w:rPr>
          <w:rFonts w:ascii="Times New Roman;serif" w:hAnsi="Times New Roman;serif"/>
          <w:b w:val="false"/>
          <w:color w:val="000000"/>
          <w:sz w:val="20"/>
        </w:rPr>
        <w:t>for further information on the Company's reportable segment.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Recently Issued Accounting Guidance </w:t>
      </w:r>
    </w:p>
    <w:p>
      <w:pPr>
        <w:pStyle w:val="TextBody"/>
        <w:bidi w:val="0"/>
        <w:spacing w:lineRule="auto" w:line="288" w:before="120" w:after="283"/>
        <w:ind w:left="0" w:right="0" w:firstLine="468"/>
        <w:jc w:val="both"/>
        <w:rPr>
          <w:rFonts w:ascii="Times New Roman;serif" w:hAnsi="Times New Roman;serif"/>
          <w:b w:val="false"/>
          <w:i/>
          <w:color w:val="000000"/>
          <w:sz w:val="20"/>
        </w:rPr>
      </w:pPr>
      <w:r>
        <w:rPr>
          <w:rFonts w:ascii="Times New Roman;serif" w:hAnsi="Times New Roman;serif"/>
          <w:b w:val="false"/>
          <w:i/>
          <w:color w:val="000000"/>
          <w:sz w:val="20"/>
        </w:rPr>
        <w:t>Accounting guidance not yet adopted</w:t>
      </w:r>
    </w:p>
    <w:p>
      <w:pPr>
        <w:pStyle w:val="TextBody"/>
        <w:bidi w:val="0"/>
        <w:spacing w:lineRule="auto" w:line="288" w:before="240" w:after="283"/>
        <w:ind w:left="0" w:right="0" w:firstLine="468"/>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(“ASU 2024-03”), which requires disclosure about the types of costs and expenses 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Company continues to monitor new accounting pronouncements issued by the FASB and does not believe any accounting pronouncements issued through the date of this report will have a material impact on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Earnings (Loss) Per Share and Certain Related Information</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Basic earnings (loss) per share is calculated by dividing net income (loss) attributable to the Company available to common stockholders by the weighted average number of common shares outstanding for the three and six months ended June 30, 2026 and 2025. Diluted earnings (loss) per share reflects the potential dilution that could occur if securities or other contracts to issue common stock were either exercised or converted into common stock or resulted in the issuance of common stock that would share in the earnings (loss) of the Company. The dilutive effect of options is reflected in diluted earnings (loss) per share by application of the treasury stock method. The dilutive effect of shares to be purchased under the Company’s Employee Stock Purchase Plan is reflected in diluted earnings (loss) per share by the weighted-average number of shares outstanding that would have been outstanding during the period. The dilutive effect of convertible debt is reflected in diluted earnings (loss) per share by application of the if-converted method. The Company uses the two-class method to determine earnings (loss) per share.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For calculating basic earnings (loss) per share, for the three and six months ended June 30, 2026, the weighted average number of shares outstanding exclude 748,453 and 730,187 non-vested restricted shares and no unexercised substantive options. For the three months ended June 30, 2025, the computation of diluted earnings per share did not include the effect of non-vested restricted shares or substantive options, as their effect was antidilutive. For the six months ended June 30, 2026, the computation of diluted earnings (loss) per share did not include the effect of all potential dilutive common stock equivalents, as their impact would have been antidilutive due to the net loss for the period.</w:t>
      </w:r>
    </w:p>
    <w:p>
      <w:pPr>
        <w:pStyle w:val="TextBody"/>
        <w:bidi w:val="0"/>
        <w:spacing w:lineRule="auto" w:line="288" w:before="240" w:after="283"/>
        <w:ind w:left="0" w:right="0" w:firstLine="468"/>
        <w:jc w:val="both"/>
        <w:rPr/>
      </w:pPr>
      <w:r>
        <w:rPr>
          <w:rFonts w:ascii="Times New Roman;serif" w:hAnsi="Times New Roman;serif"/>
          <w:b w:val="false"/>
          <w:color w:val="000000"/>
          <w:sz w:val="20"/>
        </w:rPr>
        <w:t>For calculating basic earnings per share, for the three and six months ended June 30, 2025, the weighted average number of shares outstanding exclude 878,909 and 882,018</w:t>
      </w:r>
      <w:r>
        <w:rPr>
          <w:color w:val="000000"/>
        </w:rPr>
        <w:t xml:space="preserve"> </w:t>
      </w:r>
      <w:r>
        <w:rPr>
          <w:rFonts w:ascii="Times New Roman;serif" w:hAnsi="Times New Roman;serif"/>
          <w:b w:val="false"/>
          <w:color w:val="000000"/>
          <w:sz w:val="20"/>
        </w:rPr>
        <w:t>non-vested restricted shares and 148 and 232</w:t>
      </w:r>
      <w:r>
        <w:rPr>
          <w:color w:val="000000"/>
        </w:rPr>
        <w:t xml:space="preserve"> </w:t>
      </w:r>
      <w:r>
        <w:rPr>
          <w:rFonts w:ascii="Times New Roman;serif" w:hAnsi="Times New Roman;serif"/>
          <w:b w:val="false"/>
          <w:color w:val="000000"/>
          <w:sz w:val="20"/>
        </w:rPr>
        <w:t>unexercised substantive options. For the three and six months ended June 30, 2025, the computation of diluted earnings per share did not include the effect of non-vested restricted shares or substantive options, as their effect was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represents a reconciliation of the net loss and weighted average shares outstanding for the calculation of basic and diluted earnings (loss) per share for the three and six months ended June 30, 2026 and 2025 (in thousands, except share data): </w:t>
      </w:r>
    </w:p>
    <w:tbl>
      <w:tblPr>
        <w:tblW w:w="10144" w:type="dxa"/>
        <w:jc w:val="center"/>
        <w:tblInd w:w="0" w:type="dxa"/>
        <w:tblLayout w:type="fixed"/>
        <w:tblCellMar>
          <w:top w:w="28" w:type="dxa"/>
          <w:left w:w="28" w:type="dxa"/>
          <w:bottom w:w="28" w:type="dxa"/>
          <w:right w:w="28" w:type="dxa"/>
        </w:tblCellMar>
      </w:tblPr>
      <w:tblGrid>
        <w:gridCol w:w="1410"/>
        <w:gridCol w:w="1242"/>
        <w:gridCol w:w="1247"/>
        <w:gridCol w:w="292"/>
        <w:gridCol w:w="853"/>
        <w:gridCol w:w="150"/>
        <w:gridCol w:w="150"/>
        <w:gridCol w:w="150"/>
        <w:gridCol w:w="150"/>
        <w:gridCol w:w="292"/>
        <w:gridCol w:w="853"/>
        <w:gridCol w:w="150"/>
        <w:gridCol w:w="109"/>
        <w:gridCol w:w="109"/>
        <w:gridCol w:w="109"/>
        <w:gridCol w:w="262"/>
        <w:gridCol w:w="858"/>
        <w:gridCol w:w="135"/>
        <w:gridCol w:w="135"/>
        <w:gridCol w:w="135"/>
        <w:gridCol w:w="135"/>
        <w:gridCol w:w="262"/>
        <w:gridCol w:w="765"/>
        <w:gridCol w:w="191"/>
      </w:tblGrid>
      <w:tr>
        <w:trPr/>
        <w:tc>
          <w:tcPr>
            <w:tcW w:w="1410"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allocated to non-vested shares</w:t>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5,702 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16,433,556</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16,331,964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16,443,424</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16,344,173</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nominal options</w:t>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contingently earned shares</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170,818</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245,614</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average shares outstanding</w:t>
            </w:r>
          </w:p>
        </w:tc>
        <w:tc>
          <w:tcPr>
            <w:tcW w:w="12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16,604,374</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16,583,034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16,443,424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16,589,787</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share</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earnings (loss) per share</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Share Repurchases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June 6, 2025, the board of directors authorized a new share repurchase program under which the Company may repurchase up to $25 million of its common stock ("2025 Repurchase Authorization") over a 12-month period beginning on June 9, 2025. The execution of the repurchase program is expected to be consistent with the Company’s strategic initiatives which prioritize investments in organic and acquisitive growth. The timing and amount of any share repurchases will be determined by management at its discretion based on several factors including share price, market conditions and capital allocation priorities. Shares may be repurchased from time to time through open market purchases, in privately negotiated transactions or by other means, including the use of trading plans intended to qualify under Rule 10b5-1 under the Exchange Act, in accordance with applicable securities laws and other restrictions. The share repurchase program does not obligate Bowman to acquire a specific number of shares of common stock and may be suspended, modified, or discontinued at any time without notice. The 2025 Repurchase Authorization expired in accordance with its terms on June 9,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the Company repurchased 381,936 shares of its common stock under the 2025 Repurchase Authorization at an average price of $32.02 per share for a total of $12.2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Cumulatively, under the 2025 Repurchase Authorization, the Company has repurchased 654,821 shares of common stock at an average price of $32.95 per share for a total of $21.6 million through its expiration on June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4. Acquisitions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240" w:after="283"/>
        <w:jc w:val="both"/>
        <w:rPr>
          <w:rFonts w:ascii="Times New Roman;serif" w:hAnsi="Times New Roman;serif"/>
          <w:b/>
          <w:i/>
          <w:color w:val="000000"/>
          <w:sz w:val="20"/>
          <w:u w:val="single"/>
        </w:rPr>
      </w:pPr>
      <w:r>
        <w:rPr>
          <w:rFonts w:ascii="Times New Roman;serif" w:hAnsi="Times New Roman;serif"/>
          <w:b/>
          <w:i/>
          <w:color w:val="000000"/>
          <w:sz w:val="20"/>
          <w:u w:val="single"/>
        </w:rPr>
        <w:t>2026 Acquisition</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completed one acquisition for total consideration of $1.5 million, consisting of cash and a promissory note. No cash was acquired as part of the transaction. The promissory note bears interest at 7.00% and is payable in equal monthly installments beginning in August 2026 through May 2029.</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price allocation consists primarily of goodwill and is based upon preliminary information that is subject to change when additional information is obtained.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i/>
          <w:color w:val="000000"/>
          <w:sz w:val="20"/>
          <w:u w:val="single"/>
        </w:rPr>
      </w:pPr>
      <w:r>
        <w:rPr>
          <w:rFonts w:ascii="Times New Roman;serif" w:hAnsi="Times New Roman;serif"/>
          <w:b/>
          <w:i/>
          <w:color w:val="000000"/>
          <w:sz w:val="20"/>
          <w:u w:val="single"/>
        </w:rPr>
        <w:t>2025 Acquisitions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During 2025, the Company completed seven acquisitions, with the purchase price allocation, including the residual amount allocated to goodwill, based on preliminary information. This allocation is subject to change as additional data concerning final asset and liability valuations are obtained and management finalizes its reassessment of the measurement period procedures, based on the results of the preliminary valuation. The Company does not anticipate any significant adjustments during the applicable measurement period. However, the Company will adjust assets and liabilities if new information arises regarding facts and circumstances that existed as of the acquisition date, which, if known, would have led to revised estimated values for those assets or liabilities. For the three and six months ended June 30, 2026, there were no measurement period adjustments. The effect of any measurement period adjustments would be reflected as if the adjustments had been made on the acquisition date. </w:t>
      </w:r>
    </w:p>
    <w:p>
      <w:pPr>
        <w:pStyle w:val="TextBody"/>
        <w:bidi w:val="0"/>
        <w:spacing w:lineRule="auto" w:line="288" w:before="24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RPT Alliance LLC</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5, 2025, the Company entered into a purchase agreement with RPT Alliance, LLC (“RPT”), a Houston-based engineering firm specializing in the design of natural gas transmission facilities and power generation infrastructure, including microgrid and bridging power installations serving data centers, industrial power consumers and utility operators. The Company paid total consideration of $61.3 million, which was comprised of cash, promissory note, and assumed liabilities. The promissory note bears a simple interest rate fixed at 6.00%, and is payable in equal quarterly payments of principal and interest beginning April 2026 and ending January 2029. Goodwill results from an assembled workforce, which does not qualify for separate recognition, as well as expected future synergies from combining operations. For tax purposes, the RPT transaction is treated as a deemed asset acquisition, resulting in a step up in tax basis. As a result, all of the goodwill recognized is expected to be deductible for tax purposes. </w:t>
      </w:r>
    </w:p>
    <w:p>
      <w:pPr>
        <w:pStyle w:val="TextBody"/>
        <w:bidi w:val="0"/>
        <w:spacing w:lineRule="auto" w:line="288" w:before="24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preliminary calculations of the fair values of RPT assets acquired and liabilities assumed as of the acquisition date (in thousands):</w:t>
      </w:r>
    </w:p>
    <w:tbl>
      <w:tblPr>
        <w:tblW w:w="5826" w:type="dxa"/>
        <w:jc w:val="center"/>
        <w:tblInd w:w="0" w:type="dxa"/>
        <w:tblLayout w:type="fixed"/>
        <w:tblCellMar>
          <w:top w:w="28" w:type="dxa"/>
          <w:left w:w="28" w:type="dxa"/>
          <w:bottom w:w="28" w:type="dxa"/>
          <w:right w:w="28" w:type="dxa"/>
        </w:tblCellMar>
      </w:tblPr>
      <w:tblGrid>
        <w:gridCol w:w="1705"/>
        <w:gridCol w:w="1503"/>
        <w:gridCol w:w="1517"/>
        <w:gridCol w:w="211"/>
        <w:gridCol w:w="736"/>
        <w:gridCol w:w="154"/>
      </w:tblGrid>
      <w:tr>
        <w:trPr/>
        <w:tc>
          <w:tcPr>
            <w:tcW w:w="1705"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RPT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acquired: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65,081</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obligations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less current portion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35,029</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30,052</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acquisitions, net of cash acquired</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30,052</w:t>
            </w: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68"/>
        <w:jc w:val="both"/>
        <w:rPr/>
      </w:pPr>
      <w:r>
        <w:rPr/>
      </w:r>
    </w:p>
    <w:p>
      <w:pPr>
        <w:pStyle w:val="TextBody"/>
        <w:bidi w:val="0"/>
        <w:spacing w:lineRule="auto" w:line="288" w:before="0" w:after="0"/>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of the Company include the results of operations since the date RPT was acquired. The following table presents the results of operations of RPT since the date of acquisition for the three and six months ended June 30, 2026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468"/>
        <w:jc w:val="both"/>
        <w:rPr/>
      </w:pPr>
      <w:r>
        <w:rPr/>
      </w:r>
    </w:p>
    <w:tbl>
      <w:tblPr>
        <w:tblW w:w="6910" w:type="dxa"/>
        <w:jc w:val="center"/>
        <w:tblInd w:w="0" w:type="dxa"/>
        <w:tblLayout w:type="fixed"/>
        <w:tblCellMar>
          <w:top w:w="28" w:type="dxa"/>
          <w:left w:w="28" w:type="dxa"/>
          <w:bottom w:w="28" w:type="dxa"/>
          <w:right w:w="28" w:type="dxa"/>
        </w:tblCellMar>
      </w:tblPr>
      <w:tblGrid>
        <w:gridCol w:w="737"/>
        <w:gridCol w:w="650"/>
        <w:gridCol w:w="652"/>
        <w:gridCol w:w="531"/>
        <w:gridCol w:w="1550"/>
        <w:gridCol w:w="274"/>
        <w:gridCol w:w="109"/>
        <w:gridCol w:w="109"/>
        <w:gridCol w:w="109"/>
        <w:gridCol w:w="425"/>
        <w:gridCol w:w="1454"/>
        <w:gridCol w:w="310"/>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Gross contract revenue</w:t>
            </w:r>
            <w:r>
              <w:rPr>
                <w:rFonts w:ascii="Times New Roman;serif" w:hAnsi="Times New Roman;serif"/>
                <w:b w:val="false"/>
                <w:color w:val="000000"/>
                <w:sz w:val="13"/>
              </w:rPr>
              <w:t>1</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13,160 </w:t>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Pre-tax net income</w:t>
            </w:r>
            <w:r>
              <w:rPr>
                <w:rFonts w:ascii="Times New Roman;serif" w:hAnsi="Times New Roman;serif"/>
                <w:b w:val="false"/>
                <w:color w:val="000000"/>
                <w:sz w:val="13"/>
              </w:rPr>
              <w:t>2</w:t>
            </w:r>
          </w:p>
        </w:tc>
        <w:tc>
          <w:tcPr>
            <w:tcW w:w="53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1,455 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4"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68"/>
        <w:jc w:val="center"/>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i/>
          <w:color w:val="000000"/>
          <w:sz w:val="16"/>
        </w:rPr>
        <w:t>Gross contract revenue includes adjustments as required by ASC 606, Revenue from Contracts with Customers based on opening balance sheet provided by the acquired companies. There is no assurance these adjustments will be consistent in future periods. Opening balance sheet balances are subject to adjustment prior to being finalized.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i/>
          <w:color w:val="000000"/>
          <w:sz w:val="16"/>
        </w:rPr>
        <w:t xml:space="preserve">Pre-tax Net Income excludes corporate overhead allocation. </w:t>
      </w:r>
    </w:p>
    <w:p>
      <w:pPr>
        <w:pStyle w:val="TextBody"/>
        <w:bidi w:val="0"/>
        <w:spacing w:lineRule="auto" w:line="288" w:before="240" w:after="283"/>
        <w:ind w:left="0" w:right="0" w:firstLine="468"/>
        <w:jc w:val="both"/>
        <w:rPr/>
      </w:pPr>
      <w:r>
        <w:rPr>
          <w:rFonts w:ascii="Times New Roman;serif" w:hAnsi="Times New Roman;serif"/>
          <w:b w:val="false"/>
          <w:color w:val="000000"/>
          <w:sz w:val="20"/>
        </w:rPr>
        <w:t>The following table presents the unaudited pro forma condensed consolidated results of operations for the three and six months ended June 30, 2026 and 2025, assuming that the RPT acquisition, discussed above, occurred on January 1, 2025.</w:t>
      </w:r>
      <w:r>
        <w:rPr>
          <w:color w:val="000000"/>
        </w:rPr>
        <w:t xml:space="preserve"> </w:t>
      </w:r>
      <w:r>
        <w:rPr>
          <w:rFonts w:ascii="Times New Roman;serif" w:hAnsi="Times New Roman;serif"/>
          <w:b w:val="false"/>
          <w:color w:val="000000"/>
          <w:sz w:val="20"/>
        </w:rPr>
        <w:t>The pro forma information provided below is compiled from pre-acquisition information and includes pro forma adjustments for amortization and depreciation. The unaudited pro forma results are presented for informational purposes only and are not meant to represent actual operating results that would have been achieved had the related events occurred on such date (in thousands):</w:t>
      </w:r>
    </w:p>
    <w:tbl>
      <w:tblPr>
        <w:tblW w:w="7073" w:type="dxa"/>
        <w:jc w:val="center"/>
        <w:tblInd w:w="0" w:type="dxa"/>
        <w:tblLayout w:type="fixed"/>
        <w:tblCellMar>
          <w:top w:w="28" w:type="dxa"/>
          <w:left w:w="28" w:type="dxa"/>
          <w:bottom w:w="28" w:type="dxa"/>
          <w:right w:w="28" w:type="dxa"/>
        </w:tblCellMar>
      </w:tblPr>
      <w:tblGrid>
        <w:gridCol w:w="737"/>
        <w:gridCol w:w="650"/>
        <w:gridCol w:w="652"/>
        <w:gridCol w:w="216"/>
        <w:gridCol w:w="849"/>
        <w:gridCol w:w="112"/>
        <w:gridCol w:w="216"/>
        <w:gridCol w:w="849"/>
        <w:gridCol w:w="112"/>
        <w:gridCol w:w="109"/>
        <w:gridCol w:w="109"/>
        <w:gridCol w:w="109"/>
        <w:gridCol w:w="212"/>
        <w:gridCol w:w="833"/>
        <w:gridCol w:w="109"/>
        <w:gridCol w:w="212"/>
        <w:gridCol w:w="832"/>
        <w:gridCol w:w="155"/>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contract revenue</w:t>
            </w:r>
            <w:r>
              <w:rPr>
                <w:rFonts w:ascii="Times New Roman;serif" w:hAnsi="Times New Roman;serif"/>
                <w:b w:val="false"/>
                <w:color w:val="000000"/>
                <w:sz w:val="13"/>
              </w:rPr>
              <w:t>3</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126,481 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242,420 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income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2"/>
        </w:rPr>
        <w:t>3</w:t>
      </w:r>
      <w:r>
        <w:rPr>
          <w:rFonts w:ascii="Times New Roman;serif" w:hAnsi="Times New Roman;serif"/>
          <w:b w:val="false"/>
          <w:i/>
          <w:color w:val="000000"/>
          <w:sz w:val="16"/>
        </w:rPr>
        <w:t>Gross contract revenue in these pro forma financials does not conform to GAAP as required by ASC 606, Revenue from Contracts with Customers, as it is impracticable to obtain the historical information necessary to apply this accounting standard. The historical estimates required to be able to accurately determine the percent complete accounting on the contracts that comprise the revenue is not available for the required periods.</w:t>
      </w:r>
    </w:p>
    <w:p>
      <w:pPr>
        <w:pStyle w:val="TextBody"/>
        <w:bidi w:val="0"/>
        <w:spacing w:before="120" w:after="283"/>
        <w:ind w:left="0" w:right="0" w:firstLine="468"/>
        <w:jc w:val="both"/>
        <w:rPr/>
      </w:pPr>
      <w:r>
        <w:rPr/>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2025 Acquisitions</w:t>
      </w:r>
    </w:p>
    <w:p>
      <w:pPr>
        <w:pStyle w:val="TextBody"/>
        <w:bidi w:val="0"/>
        <w:spacing w:lineRule="auto" w:line="288" w:before="240" w:after="283"/>
        <w:ind w:left="0" w:right="0" w:firstLine="468"/>
        <w:jc w:val="both"/>
        <w:rPr/>
      </w:pPr>
      <w:r>
        <w:rPr>
          <w:rFonts w:ascii="Times New Roman;serif" w:hAnsi="Times New Roman;serif"/>
          <w:b w:val="false"/>
          <w:color w:val="000000"/>
          <w:sz w:val="20"/>
        </w:rPr>
        <w:t xml:space="preserve">During the year ended December 31, 2025, the Company completed six additional acquisitions in diverse geographic regions and service lines. The Company paid total consideration of $14.1 million through combinations of cash, promissory notes, convertible note, shares of common stock and assumed liabilities. No cash was acquired with these acquisitions. Shares of common stock issued in connection with the acquisitions are subject to a six-month lock-up. Promissory notes bear a simple interest rate of 5.00% and are payable in quarterly payments of principal and interest beginning May 2025 and ending in October 2028. The convertible note bears a simple interest rate of 5.00% and provides for four quarterly interest-only payments beginning in October 2025 through July 2026, followed by eight quarterly payments of principal and interest beginning in October 2026, with all unpaid principal and interest due in July 2028; see Note 12 </w:t>
      </w:r>
      <w:r>
        <w:rPr>
          <w:rFonts w:ascii="Times New Roman;serif" w:hAnsi="Times New Roman;serif"/>
          <w:b w:val="false"/>
          <w:i/>
          <w:color w:val="000000"/>
          <w:sz w:val="20"/>
        </w:rPr>
        <w:t>Notes Payable</w:t>
      </w:r>
      <w:r>
        <w:rPr>
          <w:color w:val="000000"/>
        </w:rPr>
        <w:t xml:space="preserve"> </w:t>
      </w:r>
      <w:r>
        <w:rPr>
          <w:rFonts w:ascii="Times New Roman;serif" w:hAnsi="Times New Roman;serif"/>
          <w:b w:val="false"/>
          <w:color w:val="000000"/>
          <w:sz w:val="20"/>
        </w:rPr>
        <w:t xml:space="preserve">for additional information regarding the convertible notes payable. For tax purposes, the acquisitions were treated as asset acquisitions, in which case the assets have been stepped up and recorded at their respective fair values. For asset acquisitions, all the goodwill recognized is expected to be deductible for tax purposes. Goodwill results from an assembled workforce, which does not qualify for separate recognition, as well as expected future synergies from combining operations. For two of the acquisitions, the purchase agreement includes a contingent consideration feature, which affords the sellers the opportunity to earn additional consideration in the form of cash, convertible note and a promissory note, based on certain financial performance thresholds. The final settlement amount will depend on ongoing operations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pPr>
      <w:r>
        <w:rPr>
          <w:rFonts w:ascii="Times New Roman;serif" w:hAnsi="Times New Roman;serif"/>
          <w:b w:val="false"/>
          <w:color w:val="000000"/>
          <w:sz w:val="20"/>
        </w:rPr>
        <w:t xml:space="preserve">acquired company. The payout amounts range between $0 and $2.8 million. See Note 2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additional information regarding the fair value of contingent consideration.</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preliminary calculations of the fair values of the other 2025 acquisition assets acquired and liabilities assumed as of the acquisition date (in thousands):</w:t>
      </w:r>
    </w:p>
    <w:tbl>
      <w:tblPr>
        <w:tblW w:w="5826" w:type="dxa"/>
        <w:jc w:val="center"/>
        <w:tblInd w:w="0" w:type="dxa"/>
        <w:tblLayout w:type="fixed"/>
        <w:tblCellMar>
          <w:top w:w="28" w:type="dxa"/>
          <w:left w:w="28" w:type="dxa"/>
          <w:bottom w:w="28" w:type="dxa"/>
          <w:right w:w="28" w:type="dxa"/>
        </w:tblCellMar>
      </w:tblPr>
      <w:tblGrid>
        <w:gridCol w:w="1705"/>
        <w:gridCol w:w="1503"/>
        <w:gridCol w:w="1517"/>
        <w:gridCol w:w="211"/>
        <w:gridCol w:w="736"/>
        <w:gridCol w:w="154"/>
      </w:tblGrid>
      <w:tr>
        <w:trPr/>
        <w:tc>
          <w:tcPr>
            <w:tcW w:w="1705"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assets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acquired: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15,858</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 current portion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obligations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less current portion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7,625</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8,233</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reconciling items:</w:t>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as partial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acquisitions, net of cash acquired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5,157</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68"/>
        <w:jc w:val="both"/>
        <w:rPr/>
      </w:pPr>
      <w:r>
        <w:rPr/>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of the Company include the results of operations from any business acquired from their respective dates of acquisitions (excluding RPT). The following table presents the results of operations of the other companies acquired during 2025 (excluding RPT) from their respective dates of acquisition for the three and six months ended June 30, 2026 (in thousands):</w:t>
      </w:r>
    </w:p>
    <w:p>
      <w:pPr>
        <w:pStyle w:val="TextBody"/>
        <w:bidi w:val="0"/>
        <w:spacing w:before="0" w:after="0"/>
        <w:jc w:val="both"/>
        <w:rPr/>
      </w:pPr>
      <w:r>
        <w:rPr/>
      </w:r>
    </w:p>
    <w:tbl>
      <w:tblPr>
        <w:tblW w:w="6910" w:type="dxa"/>
        <w:jc w:val="left"/>
        <w:tblInd w:w="0" w:type="dxa"/>
        <w:tblLayout w:type="fixed"/>
        <w:tblCellMar>
          <w:top w:w="28" w:type="dxa"/>
          <w:left w:w="28" w:type="dxa"/>
          <w:bottom w:w="28" w:type="dxa"/>
          <w:right w:w="28" w:type="dxa"/>
        </w:tblCellMar>
      </w:tblPr>
      <w:tblGrid>
        <w:gridCol w:w="737"/>
        <w:gridCol w:w="650"/>
        <w:gridCol w:w="652"/>
        <w:gridCol w:w="531"/>
        <w:gridCol w:w="1550"/>
        <w:gridCol w:w="274"/>
        <w:gridCol w:w="109"/>
        <w:gridCol w:w="109"/>
        <w:gridCol w:w="109"/>
        <w:gridCol w:w="471"/>
        <w:gridCol w:w="1375"/>
        <w:gridCol w:w="343"/>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Gross contract revenue</w:t>
            </w:r>
            <w:r>
              <w:rPr>
                <w:rFonts w:ascii="Times New Roman;serif" w:hAnsi="Times New Roman;serif"/>
                <w:b w:val="false"/>
                <w:color w:val="000000"/>
                <w:sz w:val="13"/>
              </w:rPr>
              <w:t>1</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9,656 </w:t>
            </w:r>
          </w:p>
        </w:tc>
        <w:tc>
          <w:tcPr>
            <w:tcW w:w="3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Pre-tax net income</w:t>
            </w:r>
            <w:r>
              <w:rPr>
                <w:rFonts w:ascii="Times New Roman;serif" w:hAnsi="Times New Roman;serif"/>
                <w:b w:val="false"/>
                <w:color w:val="000000"/>
                <w:sz w:val="13"/>
              </w:rPr>
              <w:t>2</w:t>
            </w:r>
          </w:p>
        </w:tc>
        <w:tc>
          <w:tcPr>
            <w:tcW w:w="53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3,521 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i/>
          <w:color w:val="000000"/>
          <w:sz w:val="16"/>
        </w:rPr>
        <w:t>Gross contract revenue includes adjustments as required by ASC 606, Revenue from Contracts with Customers based on opening balance sheet provided by the acquired companies. There is no assurance these adjustments will be consistent in future periods. Opening balance sheet balances are subject to adjustment prior to being finalized.</w:t>
      </w:r>
    </w:p>
    <w:p>
      <w:pPr>
        <w:pStyle w:val="TextBody"/>
        <w:bidi w:val="0"/>
        <w:spacing w:lineRule="auto" w:line="288" w:before="240" w:after="283"/>
        <w:jc w:val="left"/>
        <w:rPr/>
      </w:pPr>
      <w:r>
        <w:rPr>
          <w:rFonts w:ascii="Times New Roman;serif" w:hAnsi="Times New Roman;serif"/>
          <w:b w:val="false"/>
          <w:color w:val="000000"/>
          <w:sz w:val="12"/>
        </w:rPr>
        <w:t>2</w:t>
      </w:r>
      <w:r>
        <w:rPr>
          <w:rFonts w:ascii="Times New Roman;serif" w:hAnsi="Times New Roman;serif"/>
          <w:b w:val="false"/>
          <w:i/>
          <w:color w:val="000000"/>
          <w:sz w:val="16"/>
        </w:rPr>
        <w:t xml:space="preserve">Pre-tax Net Income excludes corporate overhead allocation. </w:t>
      </w:r>
    </w:p>
    <w:p>
      <w:pPr>
        <w:pStyle w:val="TextBody"/>
        <w:bidi w:val="0"/>
        <w:spacing w:lineRule="auto" w:line="288" w:before="120" w:after="283"/>
        <w:ind w:left="0" w:right="0" w:firstLine="468"/>
        <w:jc w:val="both"/>
        <w:rPr/>
      </w:pPr>
      <w:r>
        <w:rPr>
          <w:rFonts w:ascii="Times New Roman;serif" w:hAnsi="Times New Roman;serif"/>
          <w:b w:val="false"/>
          <w:color w:val="000000"/>
          <w:sz w:val="20"/>
        </w:rPr>
        <w:t>The following table presents the unaudited pro forma condensed consolidated results of operations for the three and six months ended June 30, 2026 and 2025, assuming that the companies acquired in 2025 (excluding RPT), discussed above, occurred on January 1, 2025.</w:t>
      </w:r>
      <w:r>
        <w:rPr>
          <w:color w:val="000000"/>
        </w:rPr>
        <w:t xml:space="preserve"> </w:t>
      </w:r>
      <w:r>
        <w:rPr>
          <w:rFonts w:ascii="Times New Roman;serif" w:hAnsi="Times New Roman;serif"/>
          <w:b w:val="false"/>
          <w:color w:val="000000"/>
          <w:sz w:val="20"/>
        </w:rPr>
        <w:t>The pro forma information provided below is compiled from pre-acquisition information and includes pro forma adjustments for amortization and depreciation. The unaudited pro forma results are presented for informational purposes only and are not meant to represent actual operating results that would have been achieved had the related events occurred on such date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tbl>
      <w:tblPr>
        <w:tblW w:w="7148" w:type="dxa"/>
        <w:jc w:val="center"/>
        <w:tblInd w:w="0" w:type="dxa"/>
        <w:tblLayout w:type="fixed"/>
        <w:tblCellMar>
          <w:top w:w="28" w:type="dxa"/>
          <w:left w:w="28" w:type="dxa"/>
          <w:bottom w:w="28" w:type="dxa"/>
          <w:right w:w="28" w:type="dxa"/>
        </w:tblCellMar>
      </w:tblPr>
      <w:tblGrid>
        <w:gridCol w:w="764"/>
        <w:gridCol w:w="674"/>
        <w:gridCol w:w="676"/>
        <w:gridCol w:w="216"/>
        <w:gridCol w:w="849"/>
        <w:gridCol w:w="112"/>
        <w:gridCol w:w="216"/>
        <w:gridCol w:w="849"/>
        <w:gridCol w:w="112"/>
        <w:gridCol w:w="109"/>
        <w:gridCol w:w="109"/>
        <w:gridCol w:w="109"/>
        <w:gridCol w:w="212"/>
        <w:gridCol w:w="833"/>
        <w:gridCol w:w="109"/>
        <w:gridCol w:w="212"/>
        <w:gridCol w:w="832"/>
        <w:gridCol w:w="155"/>
      </w:tblGrid>
      <w:tr>
        <w:trPr/>
        <w:tc>
          <w:tcPr>
            <w:tcW w:w="76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Gross contract revenue</w:t>
            </w:r>
            <w:r>
              <w:rPr>
                <w:rFonts w:ascii="Times New Roman;serif" w:hAnsi="Times New Roman;serif"/>
                <w:b w:val="false"/>
                <w:color w:val="000000"/>
                <w:sz w:val="13"/>
              </w:rPr>
              <w:t>3</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146,125 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123,500 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net income (loss)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2"/>
        </w:rPr>
        <w:t>3</w:t>
      </w:r>
      <w:r>
        <w:rPr>
          <w:rFonts w:ascii="Times New Roman;serif" w:hAnsi="Times New Roman;serif"/>
          <w:b w:val="false"/>
          <w:i/>
          <w:color w:val="000000"/>
          <w:sz w:val="16"/>
        </w:rPr>
        <w:t>Gross contract revenue in these pro forma financials does not conform to GAAP as required by ASC 606, Revenue from Contracts with Customers, as it is impracticable to obtain the historical information necessary to apply this accounting standard. The historical estimates required to be able to accurately determine the percent complete accounting on the contracts that comprise the revenue is not available for the required periods.</w:t>
      </w:r>
    </w:p>
    <w:p>
      <w:pPr>
        <w:pStyle w:val="TextBody"/>
        <w:bidi w:val="0"/>
        <w:spacing w:lineRule="auto" w:line="288" w:before="240" w:after="283"/>
        <w:ind w:left="0" w:right="0" w:firstLine="468"/>
        <w:jc w:val="both"/>
        <w:rPr/>
      </w:pPr>
      <w:r>
        <w:rPr>
          <w:rFonts w:ascii="Times New Roman;serif" w:hAnsi="Times New Roman;serif"/>
          <w:b w:val="false"/>
          <w:color w:val="000000"/>
          <w:sz w:val="20"/>
        </w:rPr>
        <w:t xml:space="preserve">In connection with all of the 2025 acquisitions, the Company recognized $0.1 million of acquisition related expenses within </w:t>
      </w:r>
      <w:r>
        <w:rPr>
          <w:rFonts w:ascii="Times New Roman;serif" w:hAnsi="Times New Roman;serif"/>
          <w:b w:val="false"/>
          <w:i/>
          <w:color w:val="000000"/>
          <w:sz w:val="20"/>
        </w:rPr>
        <w:t>Other Income and Expenses</w:t>
      </w:r>
      <w:r>
        <w:rPr>
          <w:color w:val="000000"/>
        </w:rPr>
        <w:t xml:space="preserve"> </w:t>
      </w:r>
      <w:r>
        <w:rPr>
          <w:rFonts w:ascii="Times New Roman;serif" w:hAnsi="Times New Roman;serif"/>
          <w:b w:val="false"/>
          <w:color w:val="000000"/>
          <w:sz w:val="20"/>
        </w:rPr>
        <w:t>in the condensed consolidated statement of income for the three and six months ended June 30, 2026, including legal fees, consulting fees, and other miscellaneous expenses associated with acquisitions.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In connection with the 2026 acquisition, the Company acquired identifiable intangible assets with an aggregate fair value of approximately $0.4 million, which were not material to the Company's condensed consolidated financial statements. Accordingly, the related purchase price allocation has not been presented separately. The following table summarizes the purchase price allocation at fair value for identifiable intangible assets acquired during 2025.</w:t>
      </w:r>
    </w:p>
    <w:tbl>
      <w:tblPr>
        <w:tblW w:w="5492" w:type="dxa"/>
        <w:jc w:val="center"/>
        <w:tblInd w:w="0" w:type="dxa"/>
        <w:tblLayout w:type="fixed"/>
        <w:tblCellMar>
          <w:top w:w="28" w:type="dxa"/>
          <w:left w:w="28" w:type="dxa"/>
          <w:bottom w:w="28" w:type="dxa"/>
          <w:right w:w="28" w:type="dxa"/>
        </w:tblCellMar>
      </w:tblPr>
      <w:tblGrid>
        <w:gridCol w:w="722"/>
        <w:gridCol w:w="635"/>
        <w:gridCol w:w="637"/>
        <w:gridCol w:w="211"/>
        <w:gridCol w:w="721"/>
        <w:gridCol w:w="109"/>
        <w:gridCol w:w="109"/>
        <w:gridCol w:w="109"/>
        <w:gridCol w:w="109"/>
        <w:gridCol w:w="624"/>
        <w:gridCol w:w="624"/>
        <w:gridCol w:w="882"/>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Life</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30,138 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rights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Favorable leaseholds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33,148 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68"/>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5. Disaggregation of Revenue and Contract Balances</w:t>
      </w:r>
    </w:p>
    <w:p>
      <w:pPr>
        <w:pStyle w:val="TextBody"/>
        <w:bidi w:val="0"/>
        <w:spacing w:lineRule="auto" w:line="288" w:before="120" w:after="283"/>
        <w:ind w:left="0" w:right="0" w:firstLine="468"/>
        <w:jc w:val="both"/>
        <w:rPr/>
      </w:pPr>
      <w:r>
        <w:rPr>
          <w:rFonts w:ascii="Times New Roman;serif" w:hAnsi="Times New Roman;serif"/>
          <w:b w:val="false"/>
          <w:color w:val="000000"/>
          <w:sz w:val="20"/>
        </w:rPr>
        <w:t xml:space="preserve">The Company disaggregates revenues by contract type, see </w:t>
      </w:r>
      <w:r>
        <w:rPr>
          <w:rFonts w:ascii="Times New Roman;serif" w:hAnsi="Times New Roman;serif"/>
          <w:b w:val="false"/>
          <w:i/>
          <w:color w:val="000000"/>
          <w:sz w:val="20"/>
        </w:rPr>
        <w:t>Revenue Recognition in Note 2</w:t>
      </w:r>
      <w:r>
        <w:rPr>
          <w:color w:val="000000"/>
        </w:rPr>
        <w:t xml:space="preserve"> </w:t>
      </w:r>
      <w:r>
        <w:rPr>
          <w:rFonts w:ascii="Times New Roman;serif" w:hAnsi="Times New Roman;serif"/>
          <w:b w:val="false"/>
          <w:color w:val="000000"/>
          <w:sz w:val="20"/>
        </w:rPr>
        <w:t>for further details. For the three and six months ended June 30, 2026, the Company derived 91.6% and 91.7% of its revenue from contracts classified as lump sum, and 8.4% and 8.3% of its revenue from time and material contracts, respectively. For the three and six months ended June 30, 2025, the Company derived 91.6% and 91.2% of its revenue from contracts classified as lump sum, and 8.4% and 8.8% of its revenue from time and material contracts, respectively.</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Company had approximately $440.2 million in remaining performance obligations as of June 30, 2026 of which it expects to recognize approximately 85.2% within the next twelve months and the remaining 14.8% in the next twelve to twenty-four months.</w:t>
      </w:r>
    </w:p>
    <w:p>
      <w:pPr>
        <w:pStyle w:val="TextBody"/>
        <w:bidi w:val="0"/>
        <w:spacing w:lineRule="auto" w:line="288" w:before="24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Disaggregated revenues by contract type were as follows (in thousands):</w:t>
      </w:r>
    </w:p>
    <w:tbl>
      <w:tblPr>
        <w:tblW w:w="12162" w:type="dxa"/>
        <w:jc w:val="center"/>
        <w:tblInd w:w="0" w:type="dxa"/>
        <w:tblLayout w:type="fixed"/>
        <w:tblCellMar>
          <w:top w:w="28" w:type="dxa"/>
          <w:left w:w="28" w:type="dxa"/>
          <w:bottom w:w="28" w:type="dxa"/>
          <w:right w:w="28" w:type="dxa"/>
        </w:tblCellMar>
      </w:tblPr>
      <w:tblGrid>
        <w:gridCol w:w="613"/>
        <w:gridCol w:w="538"/>
        <w:gridCol w:w="545"/>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271"/>
        <w:gridCol w:w="109"/>
        <w:gridCol w:w="109"/>
        <w:gridCol w:w="109"/>
        <w:gridCol w:w="211"/>
        <w:gridCol w:w="826"/>
        <w:gridCol w:w="109"/>
        <w:gridCol w:w="109"/>
        <w:gridCol w:w="109"/>
        <w:gridCol w:w="109"/>
        <w:gridCol w:w="307"/>
        <w:gridCol w:w="309"/>
        <w:gridCol w:w="316"/>
      </w:tblGrid>
      <w:tr>
        <w:trPr/>
        <w:tc>
          <w:tcPr>
            <w:tcW w:w="61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fee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133,848 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contract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The Company recognized $1.8 million and $8.1 million of revenue for the three and six months ended June 30, 2026, which was included in the contract liabilities balance as of December 31, 2025, and $0.7 million and $4.2 million of revenue for the three and six months ended June 30, 2025, respectively, which were included in the contract liabilities balance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Contracts in Progress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reflects the calculation of the net balance of contract assets and contract liabilities. Costs and estimated earnings on contracts in progress consist of the following (in thousands): </w:t>
      </w:r>
    </w:p>
    <w:tbl>
      <w:tblPr>
        <w:tblW w:w="7605" w:type="dxa"/>
        <w:jc w:val="center"/>
        <w:tblInd w:w="0" w:type="dxa"/>
        <w:tblLayout w:type="fixed"/>
        <w:tblCellMar>
          <w:top w:w="28" w:type="dxa"/>
          <w:left w:w="28" w:type="dxa"/>
          <w:bottom w:w="28" w:type="dxa"/>
          <w:right w:w="28" w:type="dxa"/>
        </w:tblCellMar>
      </w:tblPr>
      <w:tblGrid>
        <w:gridCol w:w="1642"/>
        <w:gridCol w:w="1440"/>
        <w:gridCol w:w="1448"/>
        <w:gridCol w:w="213"/>
        <w:gridCol w:w="837"/>
        <w:gridCol w:w="109"/>
        <w:gridCol w:w="109"/>
        <w:gridCol w:w="109"/>
        <w:gridCol w:w="109"/>
        <w:gridCol w:w="281"/>
        <w:gridCol w:w="1103"/>
        <w:gridCol w:w="205"/>
      </w:tblGrid>
      <w:tr>
        <w:trPr/>
        <w:tc>
          <w:tcPr>
            <w:tcW w:w="164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5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on uncompleted contracts</w:t>
            </w:r>
          </w:p>
        </w:tc>
        <w:tc>
          <w:tcPr>
            <w:tcW w:w="21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548,994 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489,795 </w:t>
            </w:r>
          </w:p>
        </w:tc>
        <w:tc>
          <w:tcPr>
            <w:tcW w:w="20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Estimated contract earnings in excess of costs incurred</w:t>
            </w:r>
          </w:p>
        </w:tc>
        <w:tc>
          <w:tcPr>
            <w:tcW w:w="105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831,388 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750,896 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contract earnings to date</w:t>
            </w:r>
          </w:p>
        </w:tc>
        <w:tc>
          <w:tcPr>
            <w:tcW w:w="105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1,380,382 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1,240,691 </w:t>
            </w:r>
          </w:p>
        </w:tc>
        <w:tc>
          <w:tcPr>
            <w:tcW w:w="20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billed to date</w:t>
            </w:r>
          </w:p>
        </w:tc>
        <w:tc>
          <w:tcPr>
            <w:tcW w:w="105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(1,327,505)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(1,198,144)</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w:t>
            </w:r>
          </w:p>
        </w:tc>
        <w:tc>
          <w:tcPr>
            <w:tcW w:w="2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52,877 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42,547 </w:t>
            </w:r>
          </w:p>
        </w:tc>
        <w:tc>
          <w:tcPr>
            <w:tcW w:w="20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7. Notes Receivable</w:t>
      </w:r>
    </w:p>
    <w:p>
      <w:pPr>
        <w:pStyle w:val="TextBody"/>
        <w:bidi w:val="0"/>
        <w:spacing w:lineRule="auto" w:line="288" w:before="120" w:after="283"/>
        <w:ind w:left="0" w:right="0" w:firstLine="468"/>
        <w:jc w:val="both"/>
        <w:rPr/>
      </w:pPr>
      <w:r>
        <w:rPr>
          <w:rFonts w:ascii="Times New Roman;serif" w:hAnsi="Times New Roman;serif"/>
          <w:b w:val="false"/>
          <w:color w:val="000000"/>
          <w:sz w:val="20"/>
        </w:rPr>
        <w:t>The Company has unsecured notes receivable from related parties, certain non-executive officers of the Company and an unrelated third party. The following is a summary of these notes receivable (in thousands):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811"/>
        <w:gridCol w:w="2339"/>
        <w:gridCol w:w="2357"/>
        <w:gridCol w:w="237"/>
        <w:gridCol w:w="694"/>
        <w:gridCol w:w="122"/>
        <w:gridCol w:w="109"/>
        <w:gridCol w:w="109"/>
        <w:gridCol w:w="109"/>
        <w:gridCol w:w="282"/>
        <w:gridCol w:w="825"/>
        <w:gridCol w:w="211"/>
      </w:tblGrid>
      <w:tr>
        <w:trPr/>
        <w:tc>
          <w:tcPr>
            <w:tcW w:w="2811"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7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Officers, employees and affiliated entities - Interest accrues annually at rates ranging from 0.0% - 5.5%. The notes receivable mature through December 2027.</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Unrelated third party - Currently no interest is being accrued on this note. The note receivable matures in December 2027.</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Officers, employees and affiliates</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50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23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1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2,011 </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68"/>
        <w:jc w:val="both"/>
        <w:rPr/>
      </w:pPr>
      <w:r>
        <w:rPr>
          <w:rFonts w:ascii="Times New Roman;serif" w:hAnsi="Times New Roman;serif"/>
          <w:b w:val="false"/>
          <w:color w:val="000000"/>
          <w:sz w:val="13"/>
        </w:rPr>
        <w:t>1</w:t>
      </w:r>
      <w:r>
        <w:rPr>
          <w:rFonts w:ascii="Times New Roman;serif" w:hAnsi="Times New Roman;serif"/>
          <w:b w:val="false"/>
          <w:color w:val="000000"/>
          <w:sz w:val="16"/>
        </w:rPr>
        <w:t>Note issued prior to the Company's initial public offering.</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Each borrower may prepay all or part of the outstanding balance at any time prior to the date of maturity. No interest was accrued on the notes receivable for the six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8. Property and Equipment, Net </w:t>
      </w:r>
    </w:p>
    <w:p>
      <w:pPr>
        <w:pStyle w:val="TextBody"/>
        <w:bidi w:val="0"/>
        <w:spacing w:lineRule="auto" w:line="288" w:before="12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Property and equipment for fixed assets are as follows (in thousands):</w:t>
      </w:r>
    </w:p>
    <w:tbl>
      <w:tblPr>
        <w:tblW w:w="7406" w:type="dxa"/>
        <w:jc w:val="center"/>
        <w:tblInd w:w="0" w:type="dxa"/>
        <w:tblLayout w:type="fixed"/>
        <w:tblCellMar>
          <w:top w:w="28" w:type="dxa"/>
          <w:left w:w="28" w:type="dxa"/>
          <w:bottom w:w="28" w:type="dxa"/>
          <w:right w:w="28" w:type="dxa"/>
        </w:tblCellMar>
      </w:tblPr>
      <w:tblGrid>
        <w:gridCol w:w="1570"/>
        <w:gridCol w:w="1377"/>
        <w:gridCol w:w="1387"/>
        <w:gridCol w:w="234"/>
        <w:gridCol w:w="800"/>
        <w:gridCol w:w="121"/>
        <w:gridCol w:w="109"/>
        <w:gridCol w:w="109"/>
        <w:gridCol w:w="109"/>
        <w:gridCol w:w="309"/>
        <w:gridCol w:w="1056"/>
        <w:gridCol w:w="225"/>
      </w:tblGrid>
      <w:tr>
        <w:trPr/>
        <w:tc>
          <w:tcPr>
            <w:tcW w:w="15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Survey equipment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5,946 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9,707 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Camera equipment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Aircraft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engine &amp; GPS</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ind w:left="0" w:right="0" w:hanging="180"/>
              <w:jc w:val="left"/>
              <w:rPr/>
            </w:pPr>
            <w:r>
              <w:rPr>
                <w:rFonts w:ascii="Times New Roman;serif" w:hAnsi="Times New Roman;serif"/>
                <w:b w:val="false"/>
                <w:color w:val="000000"/>
                <w:sz w:val="20"/>
              </w:rPr>
              <w:t xml:space="preserve">Fixed assets pending lease financing </w:t>
            </w:r>
            <w:r>
              <w:rPr>
                <w:rFonts w:ascii="Times New Roman;serif" w:hAnsi="Times New Roman;serif"/>
                <w:b w:val="false"/>
                <w:color w:val="000000"/>
                <w:sz w:val="16"/>
              </w:rPr>
              <w:t>1</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1,766 </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4"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47,512 </w:t>
            </w:r>
          </w:p>
        </w:tc>
        <w:tc>
          <w:tcPr>
            <w:tcW w:w="12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37,041 </w:t>
            </w:r>
          </w:p>
        </w:tc>
        <w:tc>
          <w:tcPr>
            <w:tcW w:w="22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(23,707)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(22,094)</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finance leased assets</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23,805 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14,947 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left"/>
        <w:rPr/>
      </w:pPr>
      <w:r>
        <w:rPr>
          <w:rFonts w:ascii="Times New Roman;serif" w:hAnsi="Times New Roman;serif"/>
          <w:b w:val="false"/>
          <w:i/>
          <w:color w:val="000000"/>
          <w:sz w:val="10"/>
        </w:rPr>
        <w:t>1</w:t>
      </w:r>
      <w:r>
        <w:rPr>
          <w:rFonts w:ascii="Times New Roman;serif" w:hAnsi="Times New Roman;serif"/>
          <w:b w:val="false"/>
          <w:i/>
          <w:color w:val="000000"/>
          <w:sz w:val="16"/>
        </w:rPr>
        <w:t>Assets acquired which will be re-financed under the Company's finance lease facilities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Depreciation expense for fixed assets for the three and six months ended June 30, 2026 was $0.8 million and $1.6 million, respectively. Depreciation expense for fixed assets for the three and six months ended June 30, 2025 was $0.9 million and $1.9 million, respectively.</w:t>
      </w:r>
    </w:p>
    <w:p>
      <w:pPr>
        <w:pStyle w:val="TextBody"/>
        <w:bidi w:val="0"/>
        <w:spacing w:lineRule="auto" w:line="288" w:before="24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Property and equipment for finance leased assets are as follows (in thousands):</w:t>
      </w:r>
    </w:p>
    <w:tbl>
      <w:tblPr>
        <w:tblW w:w="7091" w:type="dxa"/>
        <w:jc w:val="center"/>
        <w:tblInd w:w="0" w:type="dxa"/>
        <w:tblLayout w:type="fixed"/>
        <w:tblCellMar>
          <w:top w:w="28" w:type="dxa"/>
          <w:left w:w="28" w:type="dxa"/>
          <w:bottom w:w="28" w:type="dxa"/>
          <w:right w:w="28" w:type="dxa"/>
        </w:tblCellMar>
      </w:tblPr>
      <w:tblGrid>
        <w:gridCol w:w="1453"/>
        <w:gridCol w:w="1276"/>
        <w:gridCol w:w="1290"/>
        <w:gridCol w:w="234"/>
        <w:gridCol w:w="800"/>
        <w:gridCol w:w="121"/>
        <w:gridCol w:w="109"/>
        <w:gridCol w:w="109"/>
        <w:gridCol w:w="109"/>
        <w:gridCol w:w="309"/>
        <w:gridCol w:w="1056"/>
        <w:gridCol w:w="225"/>
      </w:tblGrid>
      <w:tr>
        <w:trPr/>
        <w:tc>
          <w:tcPr>
            <w:tcW w:w="145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0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23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63,718 </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48,483 </w:t>
            </w:r>
          </w:p>
        </w:tc>
        <w:tc>
          <w:tcPr>
            <w:tcW w:w="22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Vehicles</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17,917 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14,400 </w:t>
            </w:r>
          </w:p>
        </w:tc>
        <w:tc>
          <w:tcPr>
            <w:tcW w:w="22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81,635 </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62,883 </w:t>
            </w:r>
          </w:p>
        </w:tc>
        <w:tc>
          <w:tcPr>
            <w:tcW w:w="22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 on leased assets</w:t>
            </w:r>
          </w:p>
        </w:tc>
        <w:tc>
          <w:tcPr>
            <w:tcW w:w="103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(33,756)</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(28,624)</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9" w:type="dxa"/>
            <w:gridSpan w:val="3"/>
            <w:tcBorders/>
            <w:shd w:fill="CFF0FC"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Finance leased assets, net</w:t>
            </w:r>
          </w:p>
        </w:tc>
        <w:tc>
          <w:tcPr>
            <w:tcW w:w="234"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47,879 </w:t>
            </w:r>
          </w:p>
        </w:tc>
        <w:tc>
          <w:tcPr>
            <w:tcW w:w="121"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bottom w:val="double" w:sz="8" w:space="0" w:color="000000"/>
            </w:tcBorders>
            <w:shd w:fill="CFF0FC"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34,259 </w:t>
            </w:r>
          </w:p>
        </w:tc>
        <w:tc>
          <w:tcPr>
            <w:tcW w:w="225" w:type="dxa"/>
            <w:tcBorders>
              <w:bottom w:val="double" w:sz="8" w:space="0" w:color="000000"/>
            </w:tcBorders>
            <w:shd w:fill="CFF0FC"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Amortization expense for finance leased assets for the three and six months ended June 30, 2026 was $4.1 million and $8.4 million, respectively. Amortization expense for finance leased assets for the three and six months ended June 30, 2025 was $3.1 million and $6.1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9. Goodwill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three and six months ended June 30, 2026 were as follows (in thousands):</w:t>
      </w:r>
    </w:p>
    <w:tbl>
      <w:tblPr>
        <w:tblW w:w="4010" w:type="dxa"/>
        <w:jc w:val="center"/>
        <w:tblInd w:w="0" w:type="dxa"/>
        <w:tblLayout w:type="fixed"/>
        <w:tblCellMar>
          <w:top w:w="28" w:type="dxa"/>
          <w:left w:w="28" w:type="dxa"/>
          <w:bottom w:w="28" w:type="dxa"/>
          <w:right w:w="28" w:type="dxa"/>
        </w:tblCellMar>
      </w:tblPr>
      <w:tblGrid>
        <w:gridCol w:w="1021"/>
        <w:gridCol w:w="896"/>
        <w:gridCol w:w="902"/>
        <w:gridCol w:w="211"/>
        <w:gridCol w:w="826"/>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Goodwill</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173,579 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 Acquisitions - 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174,519 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over the fair value of net assets acquired in business combinations. There were no impairments of goodwill during the three and six months ended June 30, 2026 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10. Intangible Assets</w:t>
      </w:r>
    </w:p>
    <w:p>
      <w:pPr>
        <w:pStyle w:val="TextBody"/>
        <w:bidi w:val="0"/>
        <w:spacing w:lineRule="auto" w:line="288" w:before="12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Total intangible assets consisted of the following at June 30, 2026 and December 31, 2025 (in thousands):</w:t>
      </w:r>
    </w:p>
    <w:tbl>
      <w:tblPr>
        <w:tblW w:w="10205" w:type="dxa"/>
        <w:jc w:val="center"/>
        <w:tblInd w:w="0" w:type="dxa"/>
        <w:tblLayout w:type="fixed"/>
        <w:tblCellMar>
          <w:top w:w="28" w:type="dxa"/>
          <w:left w:w="28" w:type="dxa"/>
          <w:bottom w:w="28" w:type="dxa"/>
          <w:right w:w="28" w:type="dxa"/>
        </w:tblCellMar>
      </w:tblPr>
      <w:tblGrid>
        <w:gridCol w:w="687"/>
        <w:gridCol w:w="604"/>
        <w:gridCol w:w="606"/>
        <w:gridCol w:w="211"/>
        <w:gridCol w:w="832"/>
        <w:gridCol w:w="109"/>
        <w:gridCol w:w="109"/>
        <w:gridCol w:w="109"/>
        <w:gridCol w:w="109"/>
        <w:gridCol w:w="211"/>
        <w:gridCol w:w="798"/>
        <w:gridCol w:w="109"/>
        <w:gridCol w:w="109"/>
        <w:gridCol w:w="109"/>
        <w:gridCol w:w="109"/>
        <w:gridCol w:w="211"/>
        <w:gridCol w:w="721"/>
        <w:gridCol w:w="109"/>
        <w:gridCol w:w="109"/>
        <w:gridCol w:w="109"/>
        <w:gridCol w:w="109"/>
        <w:gridCol w:w="211"/>
        <w:gridCol w:w="832"/>
        <w:gridCol w:w="109"/>
        <w:gridCol w:w="109"/>
        <w:gridCol w:w="109"/>
        <w:gridCol w:w="109"/>
        <w:gridCol w:w="211"/>
        <w:gridCol w:w="798"/>
        <w:gridCol w:w="109"/>
        <w:gridCol w:w="109"/>
        <w:gridCol w:w="109"/>
        <w:gridCol w:w="109"/>
        <w:gridCol w:w="211"/>
        <w:gridCol w:w="721"/>
        <w:gridCol w:w="160"/>
      </w:tblGrid>
      <w:tr>
        <w:trPr/>
        <w:tc>
          <w:tcPr>
            <w:tcW w:w="68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180"/>
              <w:jc w:val="left"/>
              <w:rPr>
                <w:sz w:val="4"/>
                <w:szCs w:val="4"/>
              </w:rPr>
            </w:pPr>
            <w:r>
              <w:rPr>
                <w:sz w:val="4"/>
                <w:szCs w:val="4"/>
              </w:rPr>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6" w:type="dxa"/>
            <w:gridSpan w:val="15"/>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Net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Gross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Net Balance</w:t>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94,302 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(17,573)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76,729 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rights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Domain name</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Licensing rights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8,041 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127,675 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(44,335)</w:t>
            </w:r>
          </w:p>
        </w:tc>
        <w:tc>
          <w:tcPr>
            <w:tcW w:w="109"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83,340 </w:t>
            </w:r>
          </w:p>
        </w:tc>
        <w:tc>
          <w:tcPr>
            <w:tcW w:w="109"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126,674 </w:t>
            </w:r>
          </w:p>
        </w:tc>
        <w:tc>
          <w:tcPr>
            <w:tcW w:w="109"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(38,094)</w:t>
            </w:r>
          </w:p>
        </w:tc>
        <w:tc>
          <w:tcPr>
            <w:tcW w:w="109"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88,580 </w:t>
            </w:r>
          </w:p>
        </w:tc>
        <w:tc>
          <w:tcPr>
            <w:tcW w:w="160"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Developed technology consists of both capitalized internal-use software costs and acquired technology recognized in connection with business combinations. As of June 30, 2026, the gross carrying amount of developed technology was $1.3 million, of which $1.0 million relates to capitalized internal-use software costs and $0.3 million relates to acquired technology recognized in a business combination. Acquired technology is amortized on a straight-line basis over an estimated useful life of approximately ten years. Amortization expense related to developed technology is included within depreciation and amortization in the consolidated income statements.</w:t>
      </w:r>
    </w:p>
    <w:p>
      <w:pPr>
        <w:pStyle w:val="TextBody"/>
        <w:bidi w:val="0"/>
        <w:spacing w:lineRule="auto" w:line="288" w:before="24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weighted average useful lives (in years) of intangible assets by asset class used for straight-line amortization expense purposes:</w:t>
      </w:r>
    </w:p>
    <w:tbl>
      <w:tblPr>
        <w:tblW w:w="4989" w:type="dxa"/>
        <w:jc w:val="center"/>
        <w:tblInd w:w="0" w:type="dxa"/>
        <w:tblLayout w:type="fixed"/>
        <w:tblCellMar>
          <w:top w:w="28" w:type="dxa"/>
          <w:left w:w="28" w:type="dxa"/>
          <w:bottom w:w="28" w:type="dxa"/>
          <w:right w:w="28" w:type="dxa"/>
        </w:tblCellMar>
      </w:tblPr>
      <w:tblGrid>
        <w:gridCol w:w="722"/>
        <w:gridCol w:w="635"/>
        <w:gridCol w:w="637"/>
        <w:gridCol w:w="374"/>
        <w:gridCol w:w="374"/>
        <w:gridCol w:w="376"/>
        <w:gridCol w:w="109"/>
        <w:gridCol w:w="109"/>
        <w:gridCol w:w="109"/>
        <w:gridCol w:w="451"/>
        <w:gridCol w:w="451"/>
        <w:gridCol w:w="642"/>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1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12.38</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rights</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7.41</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r>
    </w:tbl>
    <w:p>
      <w:pPr>
        <w:pStyle w:val="TextBody"/>
        <w:bidi w:val="0"/>
        <w:spacing w:lineRule="auto" w:line="288" w:before="24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the three and six months ended June 30, 2026 was $2.9 million and $6.2 million, respectively. Amortization expense for the three and six months ended June 30, 2025 was $2.5 million and $5.1 million, respectively. </w:t>
      </w:r>
    </w:p>
    <w:p>
      <w:pPr>
        <w:pStyle w:val="TextBody"/>
        <w:bidi w:val="0"/>
        <w:spacing w:lineRule="auto" w:line="288" w:before="24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Future amortization for the remainder of 2026 and for the succeeding years for intangible assets with definite useful lives is as follows (in thousands):</w:t>
      </w:r>
    </w:p>
    <w:tbl>
      <w:tblPr>
        <w:tblW w:w="2032" w:type="dxa"/>
        <w:jc w:val="center"/>
        <w:tblInd w:w="0" w:type="dxa"/>
        <w:tblLayout w:type="fixed"/>
        <w:tblCellMar>
          <w:top w:w="28" w:type="dxa"/>
          <w:left w:w="28" w:type="dxa"/>
          <w:bottom w:w="28" w:type="dxa"/>
          <w:right w:w="28" w:type="dxa"/>
        </w:tblCellMar>
      </w:tblPr>
      <w:tblGrid>
        <w:gridCol w:w="342"/>
        <w:gridCol w:w="300"/>
        <w:gridCol w:w="304"/>
        <w:gridCol w:w="211"/>
        <w:gridCol w:w="721"/>
        <w:gridCol w:w="154"/>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7,753 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7,656 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39,705 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75,018 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11. Revolving Credit Facility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On March 3, 2026, we entered into a Third Amendment to the Credit Agreement and Joinder Agreement (the “Credit Agreement”), which increased the maximum aggregate revolving commitments from $210.0 million to $250.0 million. The Third Amendment also modified certain interest rate mechanics and updated lender allocations but did not change the maturity date, financial covenants or any other material covenants.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In connection with the Third Amendment, the Company evaluated the amendment under ASC 470-50 and concluded that it represents a modification of the existing debt arrangement. The impact of the modification was not material to the Company’s condensed consolidated financial statements. Any associated fees were capitalized as deferred financing costs and are being amortized over the remaining term of the Credit Agreement.</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On October 30, 2025, the Company and certain of its subsidiaries, as guarantors, entered into a Second Amendment to its Credit Agreement, which increased the maximum aggregate revolving commitments under the Credit Agreement from $140.0 million to $210.0 million. The Second Amendment also added PNC Bank, National Association as an additional lender, revised certain covenant definitions and requirements, and added an additional guarantor. The Second Amendment did not modify the applicable interest rate margins, pricing grid, or maturity date of the Credit Agreement, which remains May 2, 2029.</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In connection with the Second Amendment, the Company evaluated the amendment under ASC 470-50 and concluded that it represents a modification of the existing debt arrangement. The impact of the modification was not material to the Company’s condensed consolidated financial statements. Any associated fees were capitalized as deferred financing costs and are being amortized over the remaining term of the Credit Agreement.</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On March 12, 2025, the Company and certain of its subsidiaries acting as guarantors, entered into a First Amendment to the Credit Agreement which increased the maximum principal amount of the Credit Agreement from $100.0 million to $140.0 million. There were no other changes to the terms of the Credit Agreement.</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Credit Agreement was originally entered into on May 2, 2024, by the Company and certain of its subsidiaries, as guarantors, with lenders including Bank of America, N.A., as Administrative Agent, Swingline Lender and L/C Issuer, and TD Bank, N.A., as syndication agent. In connection with the Credit Agreement, the Company and certain of its subsidiaries entered into a Security and Pledge Agreement dated May 2, 2024, pursuant to which the obligations under the Credit Agreement are secured by substantially all assets of the Company.</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Under the Credit Agreement, the Company is required to comply with certain affirmative and negative covenants, including covenants related to indebtedness, investments, liens, restricted payments, and financial covenants, including a leverage ratio and fixed charge coverage ratio, as defined in the Credit Agreement. The Company was in compliance with all covenants under the Credit Agreement as of June 30, 2026.</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outstanding balance under the Credit Agreement was $136.2 million and $95.4 million, respectively. Interest rates applicable to borrowings under the Credit Agreement ranged from 5.93% to 8.05%. All outstanding principal on the Credit Agreement is due on May 2, 2029.</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Interest expense on the credit facilities totaled $2.0 million and $3.6 million during the three and six months ended June 30, 2026, respectively. Interest expense on the credit facilities totaled $1.0 million and $1.8 million during the three and six months ended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12. Notes Payable</w:t>
      </w:r>
    </w:p>
    <w:p>
      <w:pPr>
        <w:pStyle w:val="TextBody"/>
        <w:bidi w:val="0"/>
        <w:spacing w:lineRule="auto" w:line="288" w:before="120" w:after="283"/>
        <w:ind w:left="0" w:right="0" w:firstLine="468"/>
        <w:jc w:val="left"/>
        <w:rPr/>
      </w:pPr>
      <w:r>
        <w:rPr>
          <w:rFonts w:ascii="Times New Roman;serif" w:hAnsi="Times New Roman;serif"/>
          <w:b w:val="false"/>
          <w:color w:val="000000"/>
          <w:sz w:val="20"/>
        </w:rPr>
        <w:t>Notes payable consist of the following (in thousands):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827"/>
        <w:gridCol w:w="2339"/>
        <w:gridCol w:w="2304"/>
        <w:gridCol w:w="221"/>
        <w:gridCol w:w="756"/>
        <w:gridCol w:w="114"/>
        <w:gridCol w:w="109"/>
        <w:gridCol w:w="109"/>
        <w:gridCol w:w="109"/>
        <w:gridCol w:w="255"/>
        <w:gridCol w:w="872"/>
        <w:gridCol w:w="190"/>
      </w:tblGrid>
      <w:tr>
        <w:trPr/>
        <w:tc>
          <w:tcPr>
            <w:tcW w:w="2827"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parties:</w:t>
            </w:r>
          </w:p>
        </w:tc>
        <w:tc>
          <w:tcPr>
            <w:tcW w:w="109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Shareholders and Owners of Acquired Entities - Interest accrues annually at rates ranging from 3.25% - 11.00% annually. The notes payable mature on various dates through July 2028.</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36,320 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47,299 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Convertible Notes Payable - Interest accrues annually at rates ranging from 4.75% - 7.00% annually. The convertible notes payable mature on various dates through November 2028.</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4,713 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5,312 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Unrelated third parties:</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 for purchase of tangible asset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4,366 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Note payable for purchase of intangible asset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Discounts on notes payable issued as consideration in acquisitions:</w:t>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pPr>
            <w:r>
              <w:rPr>
                <w:rFonts w:ascii="Times New Roman;serif" w:hAnsi="Times New Roman;serif"/>
                <w:b w:val="false"/>
                <w:color w:val="000000"/>
                <w:sz w:val="13"/>
              </w:rPr>
              <w:t>1</w:t>
            </w:r>
            <w:r>
              <w:rPr>
                <w:rFonts w:ascii="Times New Roman;serif" w:hAnsi="Times New Roman;serif"/>
                <w:b w:val="false"/>
                <w:color w:val="000000"/>
                <w:sz w:val="20"/>
              </w:rPr>
              <w:t>Shareholders and owners of acquired entities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44,730 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57,011 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(22,039)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(22,698)</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w:t>
            </w:r>
          </w:p>
        </w:tc>
        <w:tc>
          <w:tcPr>
            <w:tcW w:w="22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22,691 </w:t>
            </w:r>
          </w:p>
        </w:tc>
        <w:tc>
          <w:tcPr>
            <w:tcW w:w="114"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34,313 </w:t>
            </w:r>
          </w:p>
        </w:tc>
        <w:tc>
          <w:tcPr>
            <w:tcW w:w="190"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68"/>
        <w:jc w:val="both"/>
        <w:rPr/>
      </w:pPr>
      <w:r>
        <w:rPr>
          <w:rFonts w:ascii="Times New Roman;serif" w:hAnsi="Times New Roman;serif"/>
          <w:b w:val="false"/>
          <w:color w:val="000000"/>
          <w:sz w:val="12"/>
        </w:rPr>
        <w:t>1</w:t>
      </w:r>
      <w:r>
        <w:rPr>
          <w:rFonts w:ascii="Times New Roman;serif" w:hAnsi="Times New Roman;serif"/>
          <w:b w:val="false"/>
          <w:i/>
          <w:color w:val="000000"/>
          <w:sz w:val="16"/>
        </w:rPr>
        <w:t>Includes notes payable to all owners irrespective of current relationship with the Company</w:t>
      </w:r>
    </w:p>
    <w:p>
      <w:pPr>
        <w:pStyle w:val="TextBody"/>
        <w:bidi w:val="0"/>
        <w:spacing w:lineRule="auto" w:line="288" w:before="240" w:after="283"/>
        <w:ind w:left="0" w:right="0" w:firstLine="468"/>
        <w:jc w:val="both"/>
        <w:rPr/>
      </w:pPr>
      <w:r>
        <w:rPr>
          <w:rFonts w:ascii="Times New Roman;serif" w:hAnsi="Times New Roman;serif"/>
          <w:b w:val="false"/>
          <w:color w:val="000000"/>
          <w:sz w:val="20"/>
        </w:rPr>
        <w:t>Interest expense attributable to the notes payable totaled $0.9 million and $1.9 million for the three and six months ended June 30, 2026, respectively. Interest expense attributable to the notes payable totaled $0.8 million</w:t>
      </w:r>
      <w:r>
        <w:rPr>
          <w:color w:val="000000"/>
        </w:rPr>
        <w:t xml:space="preserve"> </w:t>
      </w:r>
      <w:r>
        <w:rPr>
          <w:rFonts w:ascii="Times New Roman;serif" w:hAnsi="Times New Roman;serif"/>
          <w:b w:val="false"/>
          <w:color w:val="000000"/>
          <w:sz w:val="20"/>
        </w:rPr>
        <w:t xml:space="preserve">and $1.6 million for the three and six months ended June 30, 2025 respectively.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Future principal payments on notes payable for remainder of 2026 and succeeding years are as follows (in thousands): </w:t>
      </w:r>
    </w:p>
    <w:tbl>
      <w:tblPr>
        <w:tblW w:w="1642" w:type="dxa"/>
        <w:jc w:val="center"/>
        <w:tblInd w:w="0" w:type="dxa"/>
        <w:tblLayout w:type="fixed"/>
        <w:tblCellMar>
          <w:top w:w="28" w:type="dxa"/>
          <w:left w:w="28" w:type="dxa"/>
          <w:bottom w:w="28" w:type="dxa"/>
          <w:right w:w="28" w:type="dxa"/>
        </w:tblCellMar>
      </w:tblPr>
      <w:tblGrid>
        <w:gridCol w:w="201"/>
        <w:gridCol w:w="176"/>
        <w:gridCol w:w="179"/>
        <w:gridCol w:w="211"/>
        <w:gridCol w:w="721"/>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10,574 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19,387 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14,524 </w:t>
            </w:r>
          </w:p>
        </w:tc>
        <w:tc>
          <w:tcPr>
            <w:tcW w:w="154"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45,112 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Convertible Notes Payable</w:t>
      </w:r>
    </w:p>
    <w:p>
      <w:pPr>
        <w:pStyle w:val="TextBody"/>
        <w:bidi w:val="0"/>
        <w:spacing w:lineRule="auto" w:line="288" w:before="120" w:after="283"/>
        <w:ind w:left="0" w:right="0" w:firstLine="468"/>
        <w:jc w:val="both"/>
        <w:rPr/>
      </w:pPr>
      <w:r>
        <w:rPr>
          <w:rFonts w:ascii="Times New Roman;serif" w:hAnsi="Times New Roman;serif"/>
          <w:b w:val="false"/>
          <w:color w:val="000000"/>
          <w:sz w:val="20"/>
        </w:rPr>
        <w:t xml:space="preserve">The Company issued unsubordinated convertible notes as partial consideration for multiple acquisitions (See Note 4 </w:t>
      </w:r>
      <w:r>
        <w:rPr>
          <w:rFonts w:ascii="Times New Roman;serif" w:hAnsi="Times New Roman;serif"/>
          <w:b w:val="false"/>
          <w:i/>
          <w:color w:val="000000"/>
          <w:sz w:val="20"/>
        </w:rPr>
        <w:t>Acquisitions</w:t>
      </w:r>
      <w:r>
        <w:rPr>
          <w:rFonts w:ascii="Times New Roman;serif" w:hAnsi="Times New Roman;serif"/>
          <w:b w:val="false"/>
          <w:color w:val="000000"/>
          <w:sz w:val="20"/>
        </w:rPr>
        <w:t xml:space="preserve">). The convertible notes are convertible into shares of common stock at the option of the holders, at any time, at a predetermined conversion price. Subject to conversion, the convertible notes are payable through quarterly installments of principal, interest or both from October 2022 through November 2028. At any time, upon ten (10) business days’ notice to the Company, the holders may request that a prepayment of the principal or all or part of a regularly scheduled quarterly payment of the principal be made in the form of common stock of the Company, with the number of shares of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stock equal to the amount of the requested prepayment divided by the stock conversion price. If the request is made with respect to a regularly scheduled quarterly payment of principal, then the accrued interest shall be paid in cash.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holders of the Exeltech Consulting, Inc. convertible note converted approximately of $0.1 million of principal into 4,255 shares of common stock at $32.32 per share, representing a partial conversion of the note. The remaining principal balance remained outstanding as of June 30, 2026.</w:t>
      </w:r>
    </w:p>
    <w:p>
      <w:pPr>
        <w:pStyle w:val="TextBody"/>
        <w:bidi w:val="0"/>
        <w:spacing w:before="0" w:after="0"/>
        <w:jc w:val="left"/>
        <w:rPr/>
      </w:pPr>
      <w:r>
        <w:rPr/>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No additional elections or conversions had been made as of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convertible notes as of June 30, 2026 (in thousands, except conversion price):</w:t>
      </w:r>
    </w:p>
    <w:tbl>
      <w:tblPr>
        <w:tblW w:w="9537" w:type="dxa"/>
        <w:jc w:val="center"/>
        <w:tblInd w:w="0" w:type="dxa"/>
        <w:tblLayout w:type="fixed"/>
        <w:tblCellMar>
          <w:top w:w="28" w:type="dxa"/>
          <w:left w:w="28" w:type="dxa"/>
          <w:bottom w:w="28" w:type="dxa"/>
          <w:right w:w="28" w:type="dxa"/>
        </w:tblCellMar>
      </w:tblPr>
      <w:tblGrid>
        <w:gridCol w:w="799"/>
        <w:gridCol w:w="701"/>
        <w:gridCol w:w="705"/>
        <w:gridCol w:w="354"/>
        <w:gridCol w:w="354"/>
        <w:gridCol w:w="356"/>
        <w:gridCol w:w="365"/>
        <w:gridCol w:w="1066"/>
        <w:gridCol w:w="188"/>
        <w:gridCol w:w="263"/>
        <w:gridCol w:w="263"/>
        <w:gridCol w:w="658"/>
        <w:gridCol w:w="354"/>
        <w:gridCol w:w="1036"/>
        <w:gridCol w:w="185"/>
        <w:gridCol w:w="405"/>
        <w:gridCol w:w="1186"/>
        <w:gridCol w:w="299"/>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Convertible Notes:</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Issued</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Interest Rate</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Conversion Price</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Remaining Balance</w:t>
            </w:r>
            <w:r>
              <w:rPr>
                <w:rFonts w:ascii="Times New Roman;serif" w:hAnsi="Times New Roman;serif"/>
                <w:b/>
                <w:color w:val="000000"/>
                <w:sz w:val="13"/>
              </w:rPr>
              <w:t>1</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Anchor Consultants, LLC</w:t>
            </w:r>
          </w:p>
        </w:tc>
        <w:tc>
          <w:tcPr>
            <w:tcW w:w="1064"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08/22</w:t>
            </w:r>
          </w:p>
        </w:tc>
        <w:tc>
          <w:tcPr>
            <w:tcW w:w="36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88"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6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8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299"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Exeltech Consulting, Inc.</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11/24</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 Engineering, LLC</w:t>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02/25</w:t>
            </w:r>
          </w:p>
        </w:tc>
        <w:tc>
          <w:tcPr>
            <w:tcW w:w="3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e3i Engineers, INC</w:t>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07/25</w:t>
            </w:r>
          </w:p>
        </w:tc>
        <w:tc>
          <w:tcPr>
            <w:tcW w:w="36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8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29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68"/>
        <w:jc w:val="both"/>
        <w:rPr/>
      </w:pPr>
      <w:r>
        <w:rPr>
          <w:rFonts w:ascii="Times New Roman;serif" w:hAnsi="Times New Roman;serif"/>
          <w:b w:val="false"/>
          <w:color w:val="000000"/>
          <w:sz w:val="12"/>
        </w:rPr>
        <w:t>1</w:t>
      </w:r>
      <w:r>
        <w:rPr>
          <w:rFonts w:ascii="Times New Roman;serif" w:hAnsi="Times New Roman;serif"/>
          <w:b w:val="false"/>
          <w:i/>
          <w:color w:val="000000"/>
          <w:sz w:val="16"/>
        </w:rPr>
        <w:t>Includes discounts, and reflects the net remaining balance on convertible notes.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carrying amount of the Company’s convertible notes payable includes unamortized discounts, which were approximately $0.1 million at each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13. Related Party Transactions</w:t>
      </w:r>
    </w:p>
    <w:p>
      <w:pPr>
        <w:pStyle w:val="TextBody"/>
        <w:bidi w:val="0"/>
        <w:spacing w:before="0" w:after="0"/>
        <w:ind w:left="0" w:right="0" w:firstLine="468"/>
        <w:jc w:val="both"/>
        <w:rPr/>
      </w:pPr>
      <w:r>
        <w:rPr/>
      </w:r>
    </w:p>
    <w:p>
      <w:pPr>
        <w:pStyle w:val="TextBody"/>
        <w:bidi w:val="0"/>
        <w:spacing w:lineRule="auto" w:line="288" w:before="0" w:after="0"/>
        <w:ind w:left="0" w:right="0" w:firstLine="468"/>
        <w:jc w:val="both"/>
        <w:rPr/>
      </w:pPr>
      <w:r>
        <w:rPr>
          <w:rFonts w:ascii="Times New Roman;serif" w:hAnsi="Times New Roman;serif"/>
          <w:b w:val="false"/>
          <w:color w:val="000000"/>
          <w:sz w:val="20"/>
        </w:rPr>
        <w:t>Bowman Lansdowne Development, LLC (</w:t>
      </w:r>
      <w:r>
        <w:rPr>
          <w:color w:val="000000"/>
          <w:shd w:fill="FFFFFF" w:val="clear"/>
        </w:rPr>
        <w:t>“</w:t>
      </w:r>
      <w:r>
        <w:rPr>
          <w:rFonts w:ascii="Times New Roman;serif" w:hAnsi="Times New Roman;serif"/>
          <w:b w:val="false"/>
          <w:color w:val="000000"/>
          <w:sz w:val="20"/>
        </w:rPr>
        <w:t>BLD</w:t>
      </w:r>
      <w:r>
        <w:rPr>
          <w:color w:val="000000"/>
          <w:shd w:fill="FFFFFF" w:val="clear"/>
        </w:rPr>
        <w:t>”</w:t>
      </w:r>
      <w:r>
        <w:rPr>
          <w:rFonts w:ascii="Times New Roman;serif" w:hAnsi="Times New Roman;serif"/>
          <w:b w:val="false"/>
          <w:color w:val="000000"/>
          <w:sz w:val="20"/>
        </w:rPr>
        <w:t>) is an entity in which Mr. Bowman has an ownership interest. On each of June 30, 2026 and December 31, 2025, the Company’s notes receivable included $0.5 million from BLD, with a maturity date of December 31, 2027. Mr. Bowman has executed a Guaranty of Collection for the amount of the current unpaid principal balance.</w:t>
      </w:r>
    </w:p>
    <w:p>
      <w:pPr>
        <w:pStyle w:val="TextBody"/>
        <w:bidi w:val="0"/>
        <w:spacing w:lineRule="auto" w:line="288" w:before="240" w:after="283"/>
        <w:ind w:left="0" w:right="0" w:firstLine="468"/>
        <w:jc w:val="both"/>
        <w:rPr/>
      </w:pPr>
      <w:r>
        <w:rPr>
          <w:rFonts w:ascii="Times New Roman;serif" w:hAnsi="Times New Roman;serif"/>
          <w:b w:val="false"/>
          <w:color w:val="000000"/>
          <w:sz w:val="20"/>
        </w:rPr>
        <w:t>Lansdowne Development Group, LLC (</w:t>
      </w:r>
      <w:r>
        <w:rPr>
          <w:color w:val="000000"/>
          <w:shd w:fill="FFFFFF" w:val="clear"/>
        </w:rPr>
        <w:t>“</w:t>
      </w:r>
      <w:r>
        <w:rPr>
          <w:rFonts w:ascii="Times New Roman;serif" w:hAnsi="Times New Roman;serif"/>
          <w:b w:val="false"/>
          <w:color w:val="000000"/>
          <w:sz w:val="20"/>
        </w:rPr>
        <w:t>LDG</w:t>
      </w:r>
      <w:r>
        <w:rPr>
          <w:color w:val="000000"/>
          <w:shd w:fill="FFFFFF" w:val="clear"/>
        </w:rPr>
        <w:t>”</w:t>
      </w:r>
      <w:r>
        <w:rPr>
          <w:rFonts w:ascii="Times New Roman;serif" w:hAnsi="Times New Roman;serif"/>
          <w:b w:val="false"/>
          <w:color w:val="000000"/>
          <w:sz w:val="20"/>
        </w:rPr>
        <w:t>) is an entity in which BLD has a minority ownership interest. On June 30, 2026 and December 31, 2025, our notes receivable included $0.4 million and $0.4 million, respectively from LDG, with a maturity date of December 31, 2027. Mr. Bowman has executed a Guaranty of Collection for the amount of the current unpaid principal balance.</w:t>
      </w:r>
    </w:p>
    <w:p>
      <w:pPr>
        <w:pStyle w:val="TextBody"/>
        <w:bidi w:val="0"/>
        <w:spacing w:lineRule="auto" w:line="288" w:before="240" w:after="283"/>
        <w:ind w:left="0" w:right="0" w:firstLine="468"/>
        <w:jc w:val="both"/>
        <w:rPr/>
      </w:pPr>
      <w:r>
        <w:rPr>
          <w:rFonts w:ascii="Times New Roman;serif" w:hAnsi="Times New Roman;serif"/>
          <w:b w:val="false"/>
          <w:color w:val="000000"/>
          <w:sz w:val="20"/>
        </w:rPr>
        <w:t>Bowman Realty Investments 2010, LLC (</w:t>
      </w:r>
      <w:r>
        <w:rPr>
          <w:color w:val="000000"/>
          <w:shd w:fill="FFFFFF" w:val="clear"/>
        </w:rPr>
        <w:t>“</w:t>
      </w:r>
      <w:r>
        <w:rPr>
          <w:rFonts w:ascii="Times New Roman;serif" w:hAnsi="Times New Roman;serif"/>
          <w:b w:val="false"/>
          <w:color w:val="000000"/>
          <w:sz w:val="20"/>
        </w:rPr>
        <w:t>BR10</w:t>
      </w:r>
      <w:r>
        <w:rPr>
          <w:color w:val="000000"/>
          <w:shd w:fill="FFFFFF" w:val="clear"/>
        </w:rPr>
        <w:t>”</w:t>
      </w:r>
      <w:r>
        <w:rPr>
          <w:rFonts w:ascii="Times New Roman;serif" w:hAnsi="Times New Roman;serif"/>
          <w:b w:val="false"/>
          <w:color w:val="000000"/>
          <w:sz w:val="20"/>
        </w:rPr>
        <w:t>) is an entity in which Mr. Bowman has an ownership interest. On June 30, 2026 and December 31, 2025, the Company’s notes receivable included $0.2 million, from BR10, with a maturity date of January 31, 2027. BR10 executed a Pledge and Assignment Agreement as security for its obligations to the Company.</w:t>
      </w:r>
    </w:p>
    <w:p>
      <w:pPr>
        <w:pStyle w:val="TextBody"/>
        <w:bidi w:val="0"/>
        <w:spacing w:lineRule="auto" w:line="288" w:before="240" w:after="283"/>
        <w:ind w:left="0" w:right="0" w:firstLine="468"/>
        <w:jc w:val="both"/>
        <w:rPr/>
      </w:pPr>
      <w:r>
        <w:rPr>
          <w:rFonts w:ascii="Times New Roman;serif" w:hAnsi="Times New Roman;serif"/>
          <w:b w:val="false"/>
          <w:color w:val="000000"/>
          <w:sz w:val="20"/>
          <w:shd w:fill="FFFFFF" w:val="clear"/>
        </w:rPr>
        <w:t xml:space="preserve">MREC </w:t>
      </w:r>
      <w:r>
        <w:rPr>
          <w:rFonts w:ascii="Times New Roman;serif" w:hAnsi="Times New Roman;serif"/>
          <w:b w:val="false"/>
          <w:color w:val="000000"/>
          <w:sz w:val="20"/>
        </w:rPr>
        <w:t>Shenandoah</w:t>
      </w:r>
      <w:r>
        <w:rPr>
          <w:color w:val="000000"/>
          <w:shd w:fill="FFFFFF" w:val="clear"/>
        </w:rPr>
        <w:t xml:space="preserve"> </w:t>
      </w:r>
      <w:r>
        <w:rPr>
          <w:rFonts w:ascii="Times New Roman;serif" w:hAnsi="Times New Roman;serif"/>
          <w:b w:val="false"/>
          <w:color w:val="000000"/>
          <w:sz w:val="20"/>
          <w:shd w:fill="FFFFFF" w:val="clear"/>
        </w:rPr>
        <w:t xml:space="preserve">VA, LLC (“MREC Shenandoah”) is an entity in which Lake Frederick Holdings, LLC (“Lake Frederick Holdings”) owns a 92% interest and Shenandoah Station Partners LLC, an entity owned in part by BLD and in part by Bowman Realty Investments 2013 LLC "Bowman Realty" (BR13), owns an 8% interest. Mr. Bowman owns a 100% interest in, and is the manager of, Lake Frederick Holdings. Mr. Bowman is the sole member of Bowman Realty 2013 (BR13). Since 2020, the Company has provided engineering services to MREC Shenandoah in exchange for cash payments. During the </w:t>
      </w:r>
      <w:r>
        <w:rPr>
          <w:rFonts w:ascii="Times New Roman;serif" w:hAnsi="Times New Roman;serif"/>
          <w:b w:val="false"/>
          <w:color w:val="000000"/>
          <w:sz w:val="20"/>
        </w:rPr>
        <w:t xml:space="preserve">six </w:t>
      </w:r>
      <w:r>
        <w:rPr>
          <w:rFonts w:ascii="Times New Roman;serif" w:hAnsi="Times New Roman;serif"/>
          <w:b w:val="false"/>
          <w:color w:val="000000"/>
          <w:sz w:val="20"/>
          <w:shd w:fill="FFFFFF" w:val="clear"/>
        </w:rPr>
        <w:t>months ended June 30, 2026, the Company invoiced $0.3 million, and received payments of $0.1 million. During the</w:t>
      </w:r>
      <w:r>
        <w:rPr>
          <w:color w:val="000000"/>
        </w:rPr>
        <w:t xml:space="preserv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the Company invoiced $0.1 million, and received payments of $0.1 million.</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the Company provided administrative, accounting and project management services to certain of the related party entities. The cost of these services was $0.1 million and $0.1 million, respectively. These entities were billed $0.1 million and $0.1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14. Employee Stock Purchase and Stock Incentive Plans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Effective April 30, 2021, the Company established the Bowman Consulting Group Ltd. 2021 Employee Stock Purchase Plan (“ESPP”). Under the ESPP, eligible employees who elect to participate are granted the right to purchase shares of common stock at a 15% discount of the weighted average selling price of the Company stock for the 30 days prior to the last day of the offering period.</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stock issuance activity under the ESPP for the six months ended June 30, 2026 (in thousands, except share data):</w:t>
      </w:r>
    </w:p>
    <w:tbl>
      <w:tblPr>
        <w:tblW w:w="5743" w:type="dxa"/>
        <w:jc w:val="center"/>
        <w:tblInd w:w="0" w:type="dxa"/>
        <w:tblLayout w:type="fixed"/>
        <w:tblCellMar>
          <w:top w:w="28" w:type="dxa"/>
          <w:left w:w="28" w:type="dxa"/>
          <w:bottom w:w="28" w:type="dxa"/>
          <w:right w:w="28" w:type="dxa"/>
        </w:tblCellMar>
      </w:tblPr>
      <w:tblGrid>
        <w:gridCol w:w="1646"/>
        <w:gridCol w:w="1444"/>
        <w:gridCol w:w="1454"/>
        <w:gridCol w:w="304"/>
        <w:gridCol w:w="673"/>
        <w:gridCol w:w="222"/>
      </w:tblGrid>
      <w:tr>
        <w:trPr/>
        <w:tc>
          <w:tcPr>
            <w:tcW w:w="1646"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5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price paid by employees for shares sold</w:t>
            </w:r>
          </w:p>
        </w:tc>
        <w:tc>
          <w:tcPr>
            <w:tcW w:w="304"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222"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shares sold</w:t>
            </w:r>
          </w:p>
        </w:tc>
        <w:tc>
          <w:tcPr>
            <w:tcW w:w="119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37,734</w:t>
            </w:r>
          </w:p>
        </w:tc>
      </w:tr>
    </w:tbl>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Effective May 11, 2021 the Company established the Bowman Consulting Group Ltd. 2021 Omnibus Equity Incentive Plan (“the Plan”). The plan is administered by the board of directors (the “Board”), through which they can grant stock options, including Incentive Stock Options (“ISO”), and non-qualified stock options (“NQSO”). The purpose of the Plan is to grant equity incentive awards to eligible participants to attract, motivate and retain key personnel. The Plan supersedes and replaces any prior plan for stock options except that the prior plan shall remain in effect with respect to options granted under such prior plan until such options have been exercised, expired or canceled.</w:t>
      </w:r>
    </w:p>
    <w:p>
      <w:pPr>
        <w:pStyle w:val="TextBody"/>
        <w:bidi w:val="0"/>
        <w:spacing w:lineRule="auto" w:line="288" w:before="240" w:after="283"/>
        <w:ind w:left="0" w:right="0" w:firstLine="468"/>
        <w:jc w:val="both"/>
        <w:rPr/>
      </w:pPr>
      <w:r>
        <w:rPr>
          <w:rFonts w:ascii="Times New Roman;serif" w:hAnsi="Times New Roman;serif"/>
          <w:b w:val="false"/>
          <w:color w:val="000000"/>
          <w:sz w:val="20"/>
        </w:rPr>
        <w:t xml:space="preserve">The number of shares for which each option shall be granted, whether the option is an ISO or NQSO, the option price, the exercisability of the option, and all other terms and conditions of the option are determined by the Board at the time the option is granted. The options generally vest over a period between two and five years. A summary status of substantive stock options exercised are discussed in Note 3 - </w:t>
      </w:r>
      <w:r>
        <w:rPr>
          <w:rFonts w:ascii="Times New Roman;serif" w:hAnsi="Times New Roman;serif"/>
          <w:b w:val="false"/>
          <w:i/>
          <w:color w:val="000000"/>
          <w:sz w:val="20"/>
        </w:rPr>
        <w:t>Earnings (Loss) Per Share and Certain Related Information.</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no new options were granted and no shares were outstanding.</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As of June 30, 2026, there is no unrecognized compensation costs related to non-vested share-based compensation arrangements granted under the Stock Option Plan. The remaining unexercised shares are from substantive options in which the non-recourse notes may be pre-paid, therefore the Company recognized the total calculated compensation expense at the time of issuance.</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Stock Bonus Plan</w:t>
      </w:r>
    </w:p>
    <w:p>
      <w:pPr>
        <w:pStyle w:val="TextBody"/>
        <w:bidi w:val="0"/>
        <w:spacing w:lineRule="auto" w:line="288" w:before="120" w:after="283"/>
        <w:ind w:left="0" w:right="0" w:firstLine="468"/>
        <w:jc w:val="both"/>
        <w:rPr/>
      </w:pPr>
      <w:r>
        <w:rPr>
          <w:rFonts w:ascii="Times New Roman;serif" w:hAnsi="Times New Roman;serif"/>
          <w:b w:val="false"/>
          <w:color w:val="000000"/>
          <w:sz w:val="20"/>
        </w:rPr>
        <w:t xml:space="preserve">Effective May 11, 2021, the Company established the Bowman Consulting Group Ltd. 2021 Omnibus Equity Incentive Plan (“the Plan”). The Plan is administered by the Board through which they can issue restricted stock awards. As of June 30, 2026, 6,612,079 shares of common stock are authorized and reserved for issuance under the Plan. This reserve automatically increases on each January 1, for the duration of the Plan, in an amount equal to 5% of the total number of shares </w:t>
      </w:r>
      <w:r>
        <w:rPr>
          <w:rFonts w:ascii="Times New Roman;serif" w:hAnsi="Times New Roman;serif"/>
          <w:b w:val="false"/>
          <w:color w:val="000000"/>
          <w:sz w:val="20"/>
          <w:shd w:fill="FFFFFF" w:val="clear"/>
        </w:rPr>
        <w:t>outstanding on December 31</w:t>
      </w:r>
      <w:r>
        <w:rPr>
          <w:rFonts w:ascii="Times New Roman;serif" w:hAnsi="Times New Roman;serif"/>
          <w:b w:val="false"/>
          <w:color w:val="000000"/>
          <w:sz w:val="13"/>
          <w:shd w:fill="FFFFFF" w:val="clear"/>
        </w:rPr>
        <w:t>st</w:t>
      </w:r>
      <w:r>
        <w:rPr>
          <w:color w:val="000000"/>
          <w:shd w:fill="FFFFFF" w:val="clear"/>
        </w:rPr>
        <w:t xml:space="preserve"> </w:t>
      </w:r>
      <w:r>
        <w:rPr>
          <w:rFonts w:ascii="Times New Roman;serif" w:hAnsi="Times New Roman;serif"/>
          <w:b w:val="false"/>
          <w:color w:val="000000"/>
          <w:sz w:val="20"/>
          <w:shd w:fill="FFFFFF" w:val="clear"/>
        </w:rPr>
        <w:t xml:space="preserve">of the preceding calendar year. </w:t>
      </w:r>
      <w:r>
        <w:rPr>
          <w:rFonts w:ascii="Times New Roman;serif" w:hAnsi="Times New Roman;serif"/>
          <w:b w:val="false"/>
          <w:color w:val="000000"/>
          <w:sz w:val="20"/>
        </w:rPr>
        <w:t>The Plan supersedes and replaces any prior plan for stock bonus grants to employees of the Company except that the prior plan shall remain in effect with respect to awards granted under such prior plan until such awards have been forfeited or fully vested.</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Board granted 389,512 shares of restricted stock under the Plan. The shares have a vesting period of up to five years during which there are certain restrictions as defined by the Plan and Stock Bonus Agreements. The grant date fair value of the award is the closing price of the shares on such date, or if there are no sales on such date, on the next preceding day on which there were sales.</w:t>
      </w:r>
    </w:p>
    <w:p>
      <w:pPr>
        <w:pStyle w:val="TextBody"/>
        <w:bidi w:val="0"/>
        <w:spacing w:lineRule="auto" w:line="288" w:before="240" w:after="283"/>
        <w:ind w:left="0" w:right="0" w:firstLine="468"/>
        <w:jc w:val="both"/>
        <w:rPr/>
      </w:pPr>
      <w:r>
        <w:rPr>
          <w:rFonts w:ascii="Times New Roman;serif" w:hAnsi="Times New Roman;serif"/>
          <w:b w:val="false"/>
          <w:color w:val="000000"/>
          <w:sz w:val="20"/>
          <w:shd w:fill="FFFFFF" w:val="clear"/>
        </w:rPr>
        <w:t xml:space="preserve">Effective April 2003, the Company adopted the Bowman Consulting Group Ltd. Stock Bonus Plan (“the Stock Bonus Plan”), which allowed for the awarding of restricted stock to employees. The Stock Bonus Plan was superseded by the </w:t>
      </w:r>
      <w:r>
        <w:rPr>
          <w:rFonts w:ascii="Times New Roman;serif" w:hAnsi="Times New Roman;serif"/>
          <w:b w:val="false"/>
          <w:color w:val="000000"/>
          <w:sz w:val="20"/>
        </w:rPr>
        <w:t>Bowman Consulting Group Ltd. 2021 Omnibus Equity Incentive Plan</w:t>
      </w:r>
      <w:r>
        <w:rPr>
          <w:color w:val="000000"/>
          <w:shd w:fill="FFFFFF" w:val="clear"/>
        </w:rPr>
        <w:t xml:space="preserve"> </w:t>
      </w:r>
      <w:r>
        <w:rPr>
          <w:rFonts w:ascii="Times New Roman;serif" w:hAnsi="Times New Roman;serif"/>
          <w:b w:val="false"/>
          <w:color w:val="000000"/>
          <w:sz w:val="20"/>
        </w:rPr>
        <w:t>except that the Stock Bonus Plan shall remain in effect with respect to awards granted under it until such awards have been forfeited or fully vested.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no new restricted stock awards were granted under the Stock Bonus Plan.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restricted shares subject to forfeiture:</w:t>
      </w:r>
    </w:p>
    <w:tbl>
      <w:tblPr>
        <w:tblW w:w="4960" w:type="dxa"/>
        <w:jc w:val="center"/>
        <w:tblInd w:w="0" w:type="dxa"/>
        <w:tblLayout w:type="fixed"/>
        <w:tblCellMar>
          <w:top w:w="28" w:type="dxa"/>
          <w:left w:w="28" w:type="dxa"/>
          <w:bottom w:w="28" w:type="dxa"/>
          <w:right w:w="28" w:type="dxa"/>
        </w:tblCellMar>
      </w:tblPr>
      <w:tblGrid>
        <w:gridCol w:w="962"/>
        <w:gridCol w:w="844"/>
        <w:gridCol w:w="849"/>
        <w:gridCol w:w="314"/>
        <w:gridCol w:w="314"/>
        <w:gridCol w:w="316"/>
        <w:gridCol w:w="109"/>
        <w:gridCol w:w="109"/>
        <w:gridCol w:w="109"/>
        <w:gridCol w:w="222"/>
        <w:gridCol w:w="650"/>
        <w:gridCol w:w="162"/>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8"/>
              </w:rPr>
            </w:pPr>
            <w:r>
              <w:rPr>
                <w:rFonts w:ascii="Times New Roman;serif" w:hAnsi="Times New Roman;serif"/>
                <w:b/>
                <w:color w:val="000000"/>
                <w:sz w:val="18"/>
              </w:rPr>
              <w:t>Number of</w:t>
            </w:r>
          </w:p>
          <w:p>
            <w:pPr>
              <w:pStyle w:val="TableContents"/>
              <w:bidi w:val="0"/>
              <w:spacing w:lineRule="auto" w:line="276" w:before="15"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Weighted</w:t>
            </w:r>
          </w:p>
          <w:p>
            <w:pPr>
              <w:pStyle w:val="TableContents"/>
              <w:bidi w:val="0"/>
              <w:spacing w:lineRule="auto" w:line="276" w:before="15"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Average</w:t>
            </w:r>
          </w:p>
          <w:p>
            <w:pPr>
              <w:pStyle w:val="TableContents"/>
              <w:bidi w:val="0"/>
              <w:spacing w:lineRule="auto" w:line="276" w:before="15" w:after="283"/>
              <w:ind w:left="0" w:right="0" w:hanging="18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Grant Price</w:t>
            </w:r>
          </w:p>
        </w:tc>
      </w:tr>
      <w:tr>
        <w:trPr/>
        <w:tc>
          <w:tcPr>
            <w:tcW w:w="26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94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689,011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28.19 </w:t>
            </w:r>
          </w:p>
        </w:tc>
        <w:tc>
          <w:tcPr>
            <w:tcW w:w="16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389,512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(308,401)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25.44 </w:t>
            </w:r>
          </w:p>
        </w:tc>
        <w:tc>
          <w:tcPr>
            <w:tcW w:w="162"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25.53 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94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761,129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6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On November 10, 2021 the Company’s Board of Directors adopted the 2021 Executive Officers Long Term Incentive Plan (the “Officers LTIP”). The Officers LTIP is established under the Plan and is subject to the terms and conditions thereof. The purpose of this plan is to attract, retain and motivate key officers and employees through the grant of equity-based awards that reward Company performance over a period greater than one year and align their interests with long-term stockholder value.</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compensation committee approved the grants of 59,976 market-based restricted stock units ("PSUs") to certain executive officers of the Company under the Officers LTIP. These awards are subject to a market condition based on the Company’s total shareholder return (“TSR”) relative to a custom peer group, with vesting periods ranging from 2.67 years to 4.00 years. The number of units earned for these awards is based on the Company’s TSR relative to that of the peer group over the applicable performance period ranging from February 12, 2026 to December 31, 2028. The PSUs are valued using a Monte Carlo simulation with model inputs of opening average share value, valuation date stock price, expected volatilities, correlation coefficient, risk-free interest rate, and expected dividend yield for the Company and the custom peer group.</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market-based restricted stock units ("PSUs") subject to forfeiture:</w:t>
      </w:r>
    </w:p>
    <w:tbl>
      <w:tblPr>
        <w:tblW w:w="4960" w:type="dxa"/>
        <w:jc w:val="center"/>
        <w:tblInd w:w="0" w:type="dxa"/>
        <w:tblLayout w:type="fixed"/>
        <w:tblCellMar>
          <w:top w:w="28" w:type="dxa"/>
          <w:left w:w="28" w:type="dxa"/>
          <w:bottom w:w="28" w:type="dxa"/>
          <w:right w:w="28" w:type="dxa"/>
        </w:tblCellMar>
      </w:tblPr>
      <w:tblGrid>
        <w:gridCol w:w="962"/>
        <w:gridCol w:w="844"/>
        <w:gridCol w:w="849"/>
        <w:gridCol w:w="314"/>
        <w:gridCol w:w="314"/>
        <w:gridCol w:w="316"/>
        <w:gridCol w:w="109"/>
        <w:gridCol w:w="109"/>
        <w:gridCol w:w="109"/>
        <w:gridCol w:w="222"/>
        <w:gridCol w:w="650"/>
        <w:gridCol w:w="162"/>
      </w:tblGrid>
      <w:tr>
        <w:trPr/>
        <w:tc>
          <w:tcPr>
            <w:tcW w:w="96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Number of</w:t>
            </w:r>
          </w:p>
          <w:p>
            <w:pPr>
              <w:pStyle w:val="TableContents"/>
              <w:bidi w:val="0"/>
              <w:spacing w:lineRule="auto" w:line="276" w:before="15"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Weighted</w:t>
            </w:r>
          </w:p>
          <w:p>
            <w:pPr>
              <w:pStyle w:val="TableContents"/>
              <w:bidi w:val="0"/>
              <w:spacing w:lineRule="auto" w:line="276" w:before="15"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Average</w:t>
            </w:r>
          </w:p>
          <w:p>
            <w:pPr>
              <w:pStyle w:val="TableContents"/>
              <w:bidi w:val="0"/>
              <w:spacing w:lineRule="auto" w:line="276" w:before="15" w:after="283"/>
              <w:ind w:left="0" w:right="0" w:hanging="18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Grant Price</w:t>
            </w:r>
          </w:p>
        </w:tc>
      </w:tr>
      <w:tr>
        <w:trPr/>
        <w:tc>
          <w:tcPr>
            <w:tcW w:w="26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January 1, 2026</w:t>
            </w:r>
          </w:p>
        </w:tc>
        <w:tc>
          <w:tcPr>
            <w:tcW w:w="94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599,800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19.73 </w:t>
            </w:r>
          </w:p>
        </w:tc>
        <w:tc>
          <w:tcPr>
            <w:tcW w:w="16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42.72 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(64,808)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62"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(180,902)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62"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94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414,066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6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Company recognizes forfeitures as they occur.</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1,175,195 shares underlying unvested stock awards that vest between July 1, 2026 and December 31, 2030.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future expense of the unvested awards for the remainder of 2026 and succeeding years is as follows (in thousands):</w:t>
      </w:r>
    </w:p>
    <w:tbl>
      <w:tblPr>
        <w:tblW w:w="1642" w:type="dxa"/>
        <w:jc w:val="center"/>
        <w:tblInd w:w="0" w:type="dxa"/>
        <w:tblLayout w:type="fixed"/>
        <w:tblCellMar>
          <w:top w:w="28" w:type="dxa"/>
          <w:left w:w="28" w:type="dxa"/>
          <w:bottom w:w="28" w:type="dxa"/>
          <w:right w:w="28" w:type="dxa"/>
        </w:tblCellMar>
      </w:tblPr>
      <w:tblGrid>
        <w:gridCol w:w="201"/>
        <w:gridCol w:w="176"/>
        <w:gridCol w:w="179"/>
        <w:gridCol w:w="211"/>
        <w:gridCol w:w="721"/>
        <w:gridCol w:w="154"/>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8,798 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22,541 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Leases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lease certain office space, equipment and vehicles. These leases are either non-cancelable, cancellable only by the payment of penalties or cancellable upon notice provided. All lease payments are based on the lapse of time and certain leases are subject to annual escalations for increases in base rents. The Company's lease terms include options to extend or terminate the lease when it is reasonably certain that the option will be exercised.</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Company recognizes a right-of-use asset and lease liability for its operating leases at the commencement date equal to the present value of the contractual minimum lease payments over the lease term. The present value is calculated using the rate implicit in the lease, if known, or the Company's incremental borrowing rate. The discount rate used for operating leases is primarily determined based on an analysis of the Company's borrowing rate, while the discount rate used for finance leases is primarily determined by the rate specified in the lease.</w:t>
      </w:r>
    </w:p>
    <w:p>
      <w:pPr>
        <w:pStyle w:val="TextBody"/>
        <w:bidi w:val="0"/>
        <w:spacing w:lineRule="auto" w:line="288" w:before="240" w:after="283"/>
        <w:ind w:left="0" w:right="0" w:firstLine="468"/>
        <w:jc w:val="both"/>
        <w:rPr>
          <w:rFonts w:ascii="Times New Roman;serif" w:hAnsi="Times New Roman;serif"/>
          <w:b/>
          <w:i/>
          <w:color w:val="000000"/>
          <w:sz w:val="20"/>
        </w:rPr>
      </w:pPr>
      <w:r>
        <w:rPr>
          <w:rFonts w:ascii="Times New Roman;serif" w:hAnsi="Times New Roman;serif"/>
          <w:b/>
          <w:i/>
          <w:color w:val="000000"/>
          <w:sz w:val="20"/>
        </w:rPr>
        <w:t>Operating and Finance Leases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operating leases primarily include material leases of buildings (consisting primarily of office lease commitments) and equipment. These leases are classified as operating leases and are recognized as right-of-use assets and operating lease liabilities on the condensed consolidated balance sheets.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Company's finance leases primarily include equipment and vehicles in certain contracts with payment terms on the lease agreements that range between 30 and 50 months.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balance sheet information related to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999"/>
        <w:gridCol w:w="863"/>
        <w:gridCol w:w="871"/>
        <w:gridCol w:w="109"/>
        <w:gridCol w:w="109"/>
        <w:gridCol w:w="109"/>
        <w:gridCol w:w="1257"/>
        <w:gridCol w:w="1257"/>
        <w:gridCol w:w="1260"/>
        <w:gridCol w:w="109"/>
        <w:gridCol w:w="109"/>
        <w:gridCol w:w="109"/>
        <w:gridCol w:w="217"/>
        <w:gridCol w:w="819"/>
        <w:gridCol w:w="111"/>
        <w:gridCol w:w="109"/>
        <w:gridCol w:w="109"/>
        <w:gridCol w:w="109"/>
        <w:gridCol w:w="285"/>
        <w:gridCol w:w="1072"/>
        <w:gridCol w:w="213"/>
      </w:tblGrid>
      <w:tr>
        <w:trPr/>
        <w:tc>
          <w:tcPr>
            <w:tcW w:w="99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7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34,259 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93,714 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80,081 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(25,686)</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(74,533)</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(64,148)</w:t>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468"/>
        <w:jc w:val="both"/>
        <w:rPr/>
      </w:pPr>
      <w:r>
        <w:rPr/>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selected financial information:</w:t>
      </w:r>
    </w:p>
    <w:tbl>
      <w:tblPr>
        <w:tblW w:w="8643" w:type="dxa"/>
        <w:jc w:val="center"/>
        <w:tblInd w:w="0" w:type="dxa"/>
        <w:tblLayout w:type="fixed"/>
        <w:tblCellMar>
          <w:top w:w="28" w:type="dxa"/>
          <w:left w:w="28" w:type="dxa"/>
          <w:bottom w:w="28" w:type="dxa"/>
          <w:right w:w="28" w:type="dxa"/>
        </w:tblCellMar>
      </w:tblPr>
      <w:tblGrid>
        <w:gridCol w:w="1087"/>
        <w:gridCol w:w="952"/>
        <w:gridCol w:w="960"/>
        <w:gridCol w:w="260"/>
        <w:gridCol w:w="760"/>
        <w:gridCol w:w="134"/>
        <w:gridCol w:w="109"/>
        <w:gridCol w:w="109"/>
        <w:gridCol w:w="109"/>
        <w:gridCol w:w="260"/>
        <w:gridCol w:w="760"/>
        <w:gridCol w:w="134"/>
        <w:gridCol w:w="109"/>
        <w:gridCol w:w="109"/>
        <w:gridCol w:w="109"/>
        <w:gridCol w:w="234"/>
        <w:gridCol w:w="800"/>
        <w:gridCol w:w="121"/>
        <w:gridCol w:w="109"/>
        <w:gridCol w:w="109"/>
        <w:gridCol w:w="109"/>
        <w:gridCol w:w="233"/>
        <w:gridCol w:w="797"/>
        <w:gridCol w:w="170"/>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29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lease cost</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expense of right-of-use assets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and variable lease cost</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Finance lease cost:</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lease liabilities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Total lease cost</w:t>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8,589 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17,314 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14,111 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68"/>
        <w:jc w:val="center"/>
        <w:rPr/>
      </w:pPr>
      <w:r>
        <w:rPr/>
      </w:r>
    </w:p>
    <w:tbl>
      <w:tblPr>
        <w:tblW w:w="8561" w:type="dxa"/>
        <w:jc w:val="center"/>
        <w:tblInd w:w="0" w:type="dxa"/>
        <w:tblLayout w:type="fixed"/>
        <w:tblCellMar>
          <w:top w:w="28" w:type="dxa"/>
          <w:left w:w="28" w:type="dxa"/>
          <w:bottom w:w="28" w:type="dxa"/>
          <w:right w:w="28" w:type="dxa"/>
        </w:tblCellMar>
      </w:tblPr>
      <w:tblGrid>
        <w:gridCol w:w="2130"/>
        <w:gridCol w:w="1867"/>
        <w:gridCol w:w="1883"/>
        <w:gridCol w:w="260"/>
        <w:gridCol w:w="760"/>
        <w:gridCol w:w="134"/>
        <w:gridCol w:w="109"/>
        <w:gridCol w:w="109"/>
        <w:gridCol w:w="109"/>
        <w:gridCol w:w="258"/>
        <w:gridCol w:w="754"/>
        <w:gridCol w:w="188"/>
      </w:tblGrid>
      <w:tr>
        <w:trPr/>
        <w:tc>
          <w:tcPr>
            <w:tcW w:w="2130"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8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measurements of lease liabilities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6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7,221 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5,835 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leases</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tbl>
      <w:tblPr>
        <w:tblW w:w="7240" w:type="dxa"/>
        <w:jc w:val="center"/>
        <w:tblInd w:w="0" w:type="dxa"/>
        <w:tblLayout w:type="fixed"/>
        <w:tblCellMar>
          <w:top w:w="28" w:type="dxa"/>
          <w:left w:w="28" w:type="dxa"/>
          <w:bottom w:w="28" w:type="dxa"/>
          <w:right w:w="28" w:type="dxa"/>
        </w:tblCellMar>
      </w:tblPr>
      <w:tblGrid>
        <w:gridCol w:w="1507"/>
        <w:gridCol w:w="1327"/>
        <w:gridCol w:w="1335"/>
        <w:gridCol w:w="256"/>
        <w:gridCol w:w="256"/>
        <w:gridCol w:w="642"/>
        <w:gridCol w:w="109"/>
        <w:gridCol w:w="109"/>
        <w:gridCol w:w="109"/>
        <w:gridCol w:w="323"/>
        <w:gridCol w:w="323"/>
        <w:gridCol w:w="944"/>
      </w:tblGrid>
      <w:tr>
        <w:trPr/>
        <w:tc>
          <w:tcPr>
            <w:tcW w:w="150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rates:</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6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9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9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 xml:space="preserve">Future minimum commitments under leases for the remainder of 2026 and succeeding years are as follows (in thousands): </w:t>
      </w:r>
    </w:p>
    <w:tbl>
      <w:tblPr>
        <w:tblW w:w="6219" w:type="dxa"/>
        <w:jc w:val="center"/>
        <w:tblInd w:w="0" w:type="dxa"/>
        <w:tblLayout w:type="fixed"/>
        <w:tblCellMar>
          <w:top w:w="28" w:type="dxa"/>
          <w:left w:w="28" w:type="dxa"/>
          <w:bottom w:w="28" w:type="dxa"/>
          <w:right w:w="28" w:type="dxa"/>
        </w:tblCellMar>
      </w:tblPr>
      <w:tblGrid>
        <w:gridCol w:w="1092"/>
        <w:gridCol w:w="957"/>
        <w:gridCol w:w="965"/>
        <w:gridCol w:w="307"/>
        <w:gridCol w:w="1049"/>
        <w:gridCol w:w="158"/>
        <w:gridCol w:w="109"/>
        <w:gridCol w:w="109"/>
        <w:gridCol w:w="109"/>
        <w:gridCol w:w="265"/>
        <w:gridCol w:w="906"/>
        <w:gridCol w:w="193"/>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8,004 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9,160 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14,852 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15,104 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11,920 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10,555 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8,474 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60,689 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46,566 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(8,301)</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(5,592)</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52,388 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40,974 </w:t>
            </w:r>
          </w:p>
        </w:tc>
        <w:tc>
          <w:tcPr>
            <w:tcW w:w="1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above table is exclusive of $0.1 million sub-lease income associated with the $52.4 million total liability of operating leases as presented on the condensed consolidated balance sheet.</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above table is exclusive of the $10.3 million purchase price associated with the $51.3 million total liability of finance leases as presented on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16. Segment</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Company operates as a single business segment represented by our core business of providing multi-disciplinary professional engineering solutions to customers. The Company primarily derives its revenue from its core business of providing engineering and related professional services to customers. While we evaluate revenue and other key performance indicators relating to various divisions of labor, our leadership neither manages the business nor deliberately allocates resources by service line, geography, or end market. The Company derives the majority of its revenue from domestic customers, and has no significant long-lived assets located outside the United States. No single customer accounted for 10% or more of the Company’s total revenue during the period.</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Chief Operating Decision Maker (“CODM”) assesses performance for the Company and decides how to allocate resources based on significant expense categories that contribute to net income (loss), as outlined below. The CODM uses these varying results to prioritize the reinvestment of profits within the Company. These results are also used in assessing the Company’s performance and determining management’s compensation. The CODM does not review assets in evaluating the results of the Company, and therefore, such information is not presented.</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provides the operating financial results of the Company for the three and six months ended June 30, 2026 and 2025:</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tbl>
      <w:tblPr>
        <w:tblW w:w="8553" w:type="dxa"/>
        <w:jc w:val="left"/>
        <w:tblInd w:w="0" w:type="dxa"/>
        <w:tblLayout w:type="fixed"/>
        <w:tblCellMar>
          <w:top w:w="28" w:type="dxa"/>
          <w:left w:w="28" w:type="dxa"/>
          <w:bottom w:w="28" w:type="dxa"/>
          <w:right w:w="28" w:type="dxa"/>
        </w:tblCellMar>
      </w:tblPr>
      <w:tblGrid>
        <w:gridCol w:w="1064"/>
        <w:gridCol w:w="937"/>
        <w:gridCol w:w="938"/>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106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contract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146,125 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272,604 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 and fringe</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&amp; administrative expenses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68"/>
        <w:jc w:val="left"/>
        <w:rPr/>
      </w:pPr>
      <w:r>
        <w:rPr>
          <w:rFonts w:ascii="Times New Roman;serif" w:hAnsi="Times New Roman;serif"/>
          <w:b w:val="false"/>
          <w:color w:val="000000"/>
          <w:sz w:val="12"/>
        </w:rPr>
        <w:t>1</w:t>
      </w:r>
      <w:r>
        <w:rPr>
          <w:rFonts w:ascii="Times New Roman;serif" w:hAnsi="Times New Roman;serif"/>
          <w:b w:val="false"/>
          <w:color w:val="000000"/>
          <w:sz w:val="18"/>
        </w:rPr>
        <w:t>Other segment items included in net income (loss) consists primarily of sub-consultants and other direct expenses.</w:t>
      </w:r>
    </w:p>
    <w:p>
      <w:pPr>
        <w:pStyle w:val="TextBody"/>
        <w:bidi w:val="0"/>
        <w:spacing w:before="120" w:after="283"/>
        <w:ind w:left="0" w:right="0" w:firstLine="468"/>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17. Subsequent Events - Proposed Merger</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On August 9, 2026, the Company entered into an Agreement and Plan of Merger (the “Merger Agreement”) with Prive Parent, Inc. ("Parent") and Prive Merger Sub, Inc., a wholly owned subsidiary of Parent ("Merger Sub"). Parent and Merger Sub are affiliates of Bernhard Capital Partners ("Bernhard"). Pursuant to the Merger Agreement, Merger Sub will merge with and into the Company (the "Merger"), with the Company continuing as the surviving corporation.</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At the effective time of the Merger, each outstanding share of the Company's common stock, other than shares subject to certain customary exclusions, will be converted into the right to receive $43.00 in cash, without interest. Upon completion of the Merger, the Company will become a privately held company and its common stock will no longer be listed on Nasdaq or registered under the Securities Exchange Act of 1934, as amended.</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unanimously approved the Merger Agreement and resolved to recommend that the Company's stockholders adopt the Merger Agreement.</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Completion of the Merger is subject to customary closing conditions, including approval by the Company's stockholders, expiration or termination of the applicable waiting period under the Hart-Scott-Rodino Antitrust Improvements Act, the absence of any law or order prohibiting the Merger, the accuracy of the parties' representations and warranties, subject to applicable materiality standards, and the parties' compliance in all material respects with their respective obligations under the Merger Agreement. The Merger is expected to close in the fourth quarter of 2026 or the first quarter of 2027.</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certain termination rights for the Company and Parent. Upon termination of the Merger Agreement under certain specified circumstances, the Company may be required to pay Parent a termination fee of approximately $26.9 million, or in certain circumstances involving an Excluded Party (as defined in the Merger Agreement), approximately $13.4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468"/>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should be read in conjunction with our condensed consolidated financial statements and related notes included elsewhere in this Quarterly Report on Form 10-Q.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several factors. Factors that could cause or contribute to such differences include, but are not limited to, economic and competitive conditions, regulatory changes, and other uncertainties, as well as those factors discussed in the Risk Factors section of our Annual Report on Form 10-K for the fiscal year ended December 31, 2025 (the “Annual Report on Form 10-K”) filed with the US Securities and Exchange Commission on March 5, 2026 (the “Annual Report on Form 10-K”) and elsewhere in this Quarterly Report on Form 10-Q, particularly in “Cautionary Statement about Forward-Looking Statements,” all of which are difficult to predict. Considering these risks, uncertainties and assumptions, the forward-looking events discussed may not occur. We assume no obligation to update any of these forward-looking statements, except to the extent required by applicable laws or rules. Unless the context otherwise requires, references to “Bowman,” the “company,” the “Company,” “we,” “us,” and “our” refer to Bowman Consulting Group Ltd., its wholly owned subsidiaries and combined entities under common control, or either or all of them as the context may require.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Bowman is a professional services firm delivering innovative engineering, technical consulting and program management services to customers who own, develop and maintain the built environment. We provide planning, engineering, construction management, commissioning, environmental consulting, geospatial imaging, surveying, land procurement and other advisory services to customers operating in a diverse set of end markets. We work as both a prime and sub-consultant for a broad base of public and private sector customers that generally operate in highly regulated environments.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have a diversified business that is not dependent on any one customer service line, geographic region, or end market. We are deliberate in our efforts to balance our sources of revenue and avoid reliance on any one significant customer, service line, geography or end market concentration. Our strategic focus is on penetrating and expanding our presence in markets which best afford us opportunities to secure assignments that provide reoccurring revenue and multi-year engagements thus resulting in dependable and predictable revenue streams and high employee utilization. We limit our exposure to risk by providing professional and related services exclusively. We do not engage in general contracting activities either directly, or through joint ventures, and therefore have no related exposure. We are likewise not a financial partner in any design-build construction projects. We carry no heavy equipment inventory, and our risk of contract loss is generally limited to time associated with fixed fee professional services assignments.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As AI-enhanced software applications and environments have rapidly commercialized, we are adopting a technology-forward approach toward the development and implementation of automation tools we believe will improve our efficiency on repetitive, non-critical tasks such as regulatory inquiry, modelling and iteration, feasibility assessment, productivity enhancement and quality control. Our strategy for technology relies on early adoption and leadership. We believe technological advancements and AI-enabled automation will provide us with the opportunity to meet increasing customer demand for timely execution of infrastructure planning and operational oversight thereby extending the breadth and tenure of our engagements.</w:t>
      </w:r>
    </w:p>
    <w:p>
      <w:pPr>
        <w:pStyle w:val="TextBody"/>
        <w:bidi w:val="0"/>
        <w:spacing w:lineRule="auto" w:line="288" w:before="120" w:after="283"/>
        <w:ind w:left="0" w:right="0" w:firstLine="468"/>
        <w:jc w:val="both"/>
        <w:rPr/>
      </w:pPr>
      <w:r>
        <w:rPr>
          <w:rFonts w:ascii="Times New Roman;serif" w:hAnsi="Times New Roman;serif"/>
          <w:b w:val="false"/>
          <w:color w:val="000000"/>
          <w:sz w:val="20"/>
        </w:rPr>
        <w:t>Gross contract revenue for the three months ended June 30, 2026 and 2025 was $146.1 million and $122.1 million, respectively, representing year-over-year growth of 19.7%. Gross contract revenue derived from our workforce represented 88.3% and 88.5% of gross contract revenue for the three months ended June 30, 2026 and 2025, respectively (s</w:t>
      </w:r>
      <w:r>
        <w:rPr>
          <w:rFonts w:ascii="Times New Roman;serif" w:hAnsi="Times New Roman;serif"/>
          <w:b w:val="false"/>
          <w:i/>
          <w:color w:val="000000"/>
          <w:sz w:val="20"/>
        </w:rPr>
        <w:t>ee Net service billing – non-GAAP below</w:t>
      </w:r>
      <w:r>
        <w:rPr>
          <w:rFonts w:ascii="Times New Roman;serif" w:hAnsi="Times New Roman;serif"/>
          <w:b w:val="false"/>
          <w:color w:val="000000"/>
          <w:sz w:val="20"/>
        </w:rPr>
        <w:t>). Our net income for the three months ended June 30, 2026 and 2025 was $2.5 million and $6.0 million, respectively. Our Adjusted EBITDA for the three months ended June 30, 2026 and 2025 was $24.1 million on net income of $2.5 million and $20.2 million on net income of $6.0 million, respectively. (see Adjusted EBITDA – non-GAAP below).</w:t>
      </w:r>
    </w:p>
    <w:p>
      <w:pPr>
        <w:pStyle w:val="TextBody"/>
        <w:bidi w:val="0"/>
        <w:spacing w:before="0" w:after="0"/>
        <w:ind w:left="0" w:right="0" w:firstLine="468"/>
        <w:jc w:val="left"/>
        <w:rPr/>
      </w:pPr>
      <w:r>
        <w:rPr/>
      </w:r>
    </w:p>
    <w:p>
      <w:pPr>
        <w:pStyle w:val="TextBody"/>
        <w:bidi w:val="0"/>
        <w:spacing w:lineRule="auto" w:line="268" w:before="0" w:after="0"/>
        <w:ind w:left="0" w:right="0" w:firstLine="468"/>
        <w:jc w:val="left"/>
        <w:rPr/>
      </w:pPr>
      <w:r>
        <w:rPr>
          <w:rFonts w:ascii="Times New Roman;serif" w:hAnsi="Times New Roman;serif"/>
          <w:b w:val="false"/>
          <w:color w:val="000000"/>
          <w:sz w:val="20"/>
        </w:rPr>
        <w:t>Gross contract revenue for the six months ended June 30, 2026 and 2025 was $272.6 million and $235.0 million, respectively, representing year over year growth of 16.0%. Gross contract revenue derived from our workforce represented 89.2% and 88.6% of gross contract revenue for the six months ended June 30, 2026 and 2025, respectively (</w:t>
      </w:r>
      <w:r>
        <w:rPr>
          <w:rFonts w:ascii="Times New Roman;serif" w:hAnsi="Times New Roman;serif"/>
          <w:b w:val="false"/>
          <w:i/>
          <w:color w:val="000000"/>
          <w:sz w:val="20"/>
        </w:rPr>
        <w:t>see Net service billing – non-GAAP below</w:t>
      </w:r>
      <w:r>
        <w:rPr>
          <w:rFonts w:ascii="Times New Roman;serif" w:hAnsi="Times New Roman;serif"/>
          <w:b w:val="false"/>
          <w:color w:val="000000"/>
          <w:sz w:val="20"/>
        </w:rPr>
        <w:t>). Our net income for the six months ended June 30, 2026 and 2025 was ($1.2) million and $4.3</w:t>
      </w:r>
      <w:r>
        <w:rPr>
          <w:color w:val="000000"/>
        </w:rPr>
        <w:t xml:space="preserve"> </w:t>
      </w:r>
      <w:r>
        <w:rPr>
          <w:rFonts w:ascii="Times New Roman;serif" w:hAnsi="Times New Roman;serif"/>
          <w:b w:val="false"/>
          <w:color w:val="000000"/>
          <w:sz w:val="20"/>
        </w:rPr>
        <w:t xml:space="preserve">million, respectively. Our Adjusted EBITDA for the six months ended June 30, 2026 and 2025 was $40.9 million on net loss of ($1.2) million and $34.7 million on net income of $4.3 million, respectively. </w:t>
      </w:r>
      <w:r>
        <w:rPr>
          <w:rFonts w:ascii="Times New Roman;serif" w:hAnsi="Times New Roman;serif"/>
          <w:b w:val="false"/>
          <w:i/>
          <w:color w:val="000000"/>
          <w:sz w:val="20"/>
        </w:rPr>
        <w:t xml:space="preserve">(see Adjusted EBITDA – non-GAAP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extensive investment of time and resources we have made in the automation of certain components of our business, we are now realizing, and expect to continue to realize, productivity improvements that have reduced estimated costs to complete for certain projects in process. Accordingly, management revised estimated costs to complete for those projects, which, consistent with the Company's revenue recognition policy, resulted in cumulative catch-up adjustments that increased gross contract revenue during the three and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On August 9, 2026, the Company entered into an Agreement and Plan of Merger (the “Merger Agreement”) with Prive Parent, Inc., a Delaware corporation (“Parent”) and Prive Merger Sub, Inc., a Delaware corporation and wholly owned subsidiary of Parent (“Merger Sub”, and together with Parent, the “Buyer Parties”), pursuant to which Merger Sub will merge with and into the Company, with the Company continuing as the surviving corporation (such merger, the “Merger”). The Buyer Parties are affiliated with Bernhard Capital Partners (“Bernhard”).</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If the Merger is consummated, the shares of our common stock that trade on The NASDAQ Stock Market LLC (“Nasdaq”) will be delisted from Nasdaq and deregistered under the Securities Exchange Act of 1934, as amended (the “Exchange Act”).</w:t>
      </w:r>
    </w:p>
    <w:p>
      <w:pPr>
        <w:pStyle w:val="TextBody"/>
        <w:bidi w:val="0"/>
        <w:spacing w:lineRule="auto" w:line="288" w:before="12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The Merger is expected to close in the fourth quarter of calendar year 2026 or the first quarter of calendar year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Methods of Evaluation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We use a variety of financial and other information in monitoring the financial condition and operating performance of our business. Some of the information we use to evaluate our operations is financial information that is in accordance with Generally Accepted Accounting Principles (GAAP), while other information may be financial in nature and either built upon GAAP results or may not be in accordance with GAAP (Non-GAAP). We use all this information together for planning and monitoring our operations, as well as determining certain management and employee compensation.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Company operates as a single business segment represented by our core business of providing multi-disciplinary professional engineering solutions to customers. While we evaluate revenue and other key performance indicators relating to various divisions of labor, our leadership neither manages the business nor deliberately allocates resources by service line, geography, or end market. Our financial statements present results as a single operating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Components of Income and Expense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468"/>
        <w:jc w:val="both"/>
        <w:rPr/>
      </w:pPr>
      <w:r>
        <w:rPr>
          <w:rFonts w:ascii="Times New Roman;serif" w:hAnsi="Times New Roman;serif"/>
          <w:b w:val="false"/>
          <w:color w:val="000000"/>
          <w:sz w:val="20"/>
        </w:rPr>
        <w:t xml:space="preserve">We generate revenue from services performed by our employees, pass-through fees from sub-consultants, and reimbursable contract costs. On our condensed consolidated financial statements, we report gross contract revenue, which represents total revenue billed to customers excluding taxes collected from customers. Gross contract revenue less revenue derived from pass-through sub-consultant fees, reimbursable expenses and other direct expenses represents our net service billing, or that portion of our gross contract revenue attributable to services performed by our employees. Our industry uses the calculation underlying net service billing to normalize peer performance assessments and provide meaningful insight into trends over time. Refer to — </w:t>
      </w:r>
      <w:r>
        <w:rPr>
          <w:rFonts w:ascii="Times New Roman;serif" w:hAnsi="Times New Roman;serif"/>
          <w:b w:val="false"/>
          <w:i/>
          <w:color w:val="000000"/>
          <w:sz w:val="20"/>
        </w:rPr>
        <w:t>Other Financial Data, Non-GAAP measurements and Key Performance Indicators</w:t>
      </w:r>
      <w:r>
        <w:rPr>
          <w:color w:val="000000"/>
        </w:rPr>
        <w:t xml:space="preserve"> </w:t>
      </w:r>
      <w:r>
        <w:rPr>
          <w:rFonts w:ascii="Times New Roman;serif" w:hAnsi="Times New Roman;serif"/>
          <w:b w:val="false"/>
          <w:color w:val="000000"/>
          <w:sz w:val="20"/>
        </w:rPr>
        <w:t xml:space="preserve">below for further discussion of the use of this non-GAAP financial measure.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In general, we do not realize profit from the pass-through of sub-consultants and reimbursable expenses. As such, contract profitability is most heavily impacted by the mix of labor and assets utilized to complete the tasks and the efficiency of those resources in completing the assignments. Our largest and most consistent direct contract cost is our labor. To increase our revenue and maximize overall profitability we carefully monitor and manage our fixed and hourly labor and the utilization thereof. Maintaining an optimal level of utilization on a balanced pool of labor resources represents our greatest prospect for delivering increasing profitability.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enter into contracts that contain two types of pricing characteristics:</w:t>
      </w:r>
    </w:p>
    <w:p>
      <w:pPr>
        <w:pStyle w:val="TextBody"/>
        <w:bidi w:val="0"/>
        <w:spacing w:lineRule="auto" w:line="288" w:before="200" w:after="283"/>
        <w:ind w:left="0" w:right="0" w:firstLine="540"/>
        <w:jc w:val="both"/>
        <w:rPr/>
      </w:pPr>
      <w:r>
        <w:rPr>
          <w:rFonts w:ascii="Times New Roman;serif" w:hAnsi="Times New Roman;serif"/>
          <w:b w:val="false"/>
          <w:i/>
          <w:color w:val="000000"/>
          <w:sz w:val="20"/>
        </w:rPr>
        <w:t>Hourly</w:t>
      </w:r>
      <w:r>
        <w:rPr>
          <w:rFonts w:ascii="Times New Roman;serif" w:hAnsi="Times New Roman;serif"/>
          <w:b w:val="false"/>
          <w:color w:val="000000"/>
          <w:sz w:val="20"/>
        </w:rPr>
        <w:t xml:space="preserve">, also referred to as time and materials, are common for professional and technical consulting assignments both short-term and multi-year in duration. Under these types of contracts, there is generally no predetermined maximum fee and we generally experience no risk associated with cost overruns. For hourly contracts, we negotiate billing rates and charge our customers based upon the actual hours expended toward a deliverable. These contracts may have not-to-exceed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parameters requiring us to receive additional authorizations from our customer to continue working, but we likewise do not have to continue working without assurances of payment for such additional work.</w:t>
      </w:r>
    </w:p>
    <w:p>
      <w:pPr>
        <w:pStyle w:val="TextBody"/>
        <w:bidi w:val="0"/>
        <w:spacing w:lineRule="auto" w:line="288" w:before="200" w:after="283"/>
        <w:ind w:left="0" w:right="0" w:firstLine="540"/>
        <w:jc w:val="both"/>
        <w:rPr/>
      </w:pPr>
      <w:r>
        <w:rPr>
          <w:rFonts w:ascii="Times New Roman;serif" w:hAnsi="Times New Roman;serif"/>
          <w:b w:val="false"/>
          <w:i/>
          <w:color w:val="000000"/>
          <w:sz w:val="20"/>
        </w:rPr>
        <w:t>Lump sum</w:t>
      </w:r>
      <w:r>
        <w:rPr>
          <w:rFonts w:ascii="Times New Roman;serif" w:hAnsi="Times New Roman;serif"/>
          <w:b w:val="false"/>
          <w:color w:val="000000"/>
          <w:sz w:val="20"/>
        </w:rPr>
        <w:t>, referred to interchangeably as fixed fee, typically require the performance of some, or all, of the obligations under the contract for a specified amount, subject to price adjustments only if the scope of the project changes or unforeseen requirements arise. Our fixed fee contracts generally include a specific scope of work and defined deliverables. Lump sum contracts can involve both hourly and fixed fee pricing components. Cost plus contracts and hourly contracts with not-to exceed parameters are characterized as fixed fee contracts when we distinguish percentages of revenue based on contracts.</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a financial reporting perspective, a contract is categorized as fixed fee and therefore subjected to percentage completion accounting under Accounting Standards Codification "ASC" Topic 606 if any one discrete assignment within the contract is priced on a lump sum or unit basis. For management discussion and analysis purposes, we evaluate the percentages of our revenues that are fixed fee and hourly based on the pricing of individual assignments within our contracts. </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our assignments within a contract are lump sum in nature, representing approximately 54% of gross contract revenue for both the three and six months ended June 30, 2026, compared to approximately 61% and 59% for the three and six months ended June 30, 2025, respectively. However, when evaluated at the overall contract or project level, approximately 92% and 92% of gross contract revenue for the three and six months ended June 30, 2026, respectively, was recognized over time. Comparable percentages for the three and six months ended June 30, 2025 were 92% and 91%, respectively. This difference reflects the presence of both hourly and lump sum assignments within individual contracts. Recognizing revenue from lump sum assignments requires management estimates of both total contract value when there are contingent compensation elements of the fee arrangement and expected cost at completion. We closely monitor our progress to completion and adjust our estimates when necessary. We do not recognize revenue from work that is performed at risk with no documented customer commitment.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Contract Costs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Contract costs consist of direct payroll costs, sub-consultant costs and other direct expenses exclusive of depreciation and amortization.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Direct payroll costs represent the portion of salaries and wages incurred in connection with the production of deliverables under customer assignments and contracts. Direct payroll costs include allocated fringe costs (i.e. health benefits, employer payroll taxes, and retirement plan contributions), paid leave and incentive compensation.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Sub-consultants and direct expenses include both sub-consultants and other outside costs associated with performance under our contracts. Sub-consultant and direct costs are generally reimbursable by our customers with little or no mark-up under the terms of our contracts.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Performance under our contracts does not involve significant heavy machinery or other long term depreciable assets, other than geospatial equipment. Most of the equipment we employ involves desktop computers and other shared ordinary course IT equipment, along with various geospatial systems and scanners. We present direct costs exclusive of depreciation and amortization and as such we do not present gross profit on our condensed consolidated financial statements.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As technology evolves, we are developing efficiency enhancement automation tools that address repetitive information gathering functions, file preparation, extensive iteration, quality controls, and process management. These tools are positively impacting our budgeting and estimating with respect to revenue recognition. We are not automating critical professional judgment tasks upon which our customers rely to maintain public safety.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Operating Expense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Operating expenses consist of selling, general and administrative costs, non-cash stock compensation, depreciation and amortization and settlements and other non-core expenses.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represent corporate and other general overhead expenses, salaries and wages not allocated to customer projects including management and administrative personnel costs, incentive compensation, personal leave, office lease and occupancy costs, legal, professional and accounting fees.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Non-cash stock compensation represents the expenses incurred with respect to shares and options issued by the Company, both vested and unvested, to employees as long-term incentives. This expense is based on the amortization of the grant date fair value of equity grants over the vesting period. Non-cash stock compensation cost for permanent equity is the grant date fair value of the awards, or the Black-Scholes-Merton value of stock options on the grant date, recognized ratably over the vesting periods of each award. Stock issued as consideration in connection with acquisitions where there is no service period, and no risk of forfeiture, is considered a component of the purchase price and does not run through our income statement as non-cash compensation expense.</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represent the depreciation and amortization expense of our property and general IT equipment, capital lease assets, tenant improvements and intangible assets.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(Gain) loss on sale represents gains or losses inclusive of foreign exchange and accumulated depreciation recapture resulting from the disposal of an asset upon the sale or retirement of such asset.</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Other (Income) Expense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Other (income) expense consists of other non-operating and non-core expenses.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Income Tax Expense (Benefit)</w:t>
      </w:r>
    </w:p>
    <w:p>
      <w:pPr>
        <w:pStyle w:val="TextBody"/>
        <w:bidi w:val="0"/>
        <w:spacing w:lineRule="auto" w:line="276" w:before="0" w:after="0"/>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The net income tax expense, current and deferred, includes estimated federal, state and local tax expense/benefit associated with our taxable income, as apportioned to the states in which we operate along with all available tax incentives and credits.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Other Financial Data, Non-GAAP Measurements and Key Performance Indicators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Backlog</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We measure the value of our undelivered gross revenue in real time to calculate our backlog and predict future revenue. Backlog includes awarded, contracted, and otherwise secured commitments along with revenue we expect to realize over time for predictable long-term and reoccurring assignments. We report backlog quarterly as of the end of the last day of the reporting period. We use backlog to predict revenue growth and anticipate appropriate future staffing needs. Backlog definitions and methods of calculation vary within our industry. As such, backlog is not a reliable metric on which to evaluate us relative to our peers. Backlog neither derives from, nor reconciles to, any GAAP results.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Net Service Billing</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In the normal course of providing services to our customers, we routinely subcontract services and incur direct third-party contract expenses that may or may not be reimbursable and may or may not be billed to customers with mark-up. Gross revenue less revenue derived from pass-through sub-consultant fees and reimbursable expenses and other direct expenses represents our net service billing, which is a non-GAAP financial measure, or that portion of our gross contract revenue attributable to services performed by our employees. Net service billing excludes the impact of credit losses, which are reflected in operating expenses and evaluated separately as part of our credit and collection processes. Because the ratio of sub-contractor and direct expense costs to gross billing varies between contracts, gross revenue is not necessarily indicative of trends in our business. As a professional services company, we believe that metrics derived from net service billings more accurately demonstrate the productivity and profitability of our workforce than do those derived from gross revenue. Our industry uses the calculation of net service billing to normalize peer performance assessments and provide meaningful insight into trends over time.</w:t>
      </w:r>
    </w:p>
    <w:p>
      <w:pPr>
        <w:pStyle w:val="TextBody"/>
        <w:bidi w:val="0"/>
        <w:spacing w:lineRule="auto" w:line="288" w:before="20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Beginning with the year ended December 31, 2025, we conformed our presentation of net service billing to exclude credit losses from this non-GAAP measure. We believe this change improves comparability with industry practice and better aligns the measure with its intended purpose as a metric of service revenue generated by our professional workforce, net of sub-consultant costs and other direct pass-through expenses. For clarity of presentation, we have not recast previously published net service billing.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view Adjusted EBITDA, which is a non-GAAP financial measure, as an important indicator of normalized performance. We define Adjusted EBITDA as net income before interest expense, income taxes and depreciation and amortization, plus expenses associated with discontinued operations, legal settlements not related to our general course of business professional services, and other costs not in the ordinary course of business, non-cash stock-based compensation (inclusive of expenses associated with the adjustment of our liability for common shares subject to redemption), and other adjustments such as costs associated with raising equity and other forms of capital. Our peers may define Adjusted EBITDA differently.</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Adjusted EBITDA Margin, net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Margin, net, which is a non-GAAP financial measure, represents Adjusted EBITDA, as defined above, as a percentage of net service billings, as defined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Combined results of operations</w:t>
      </w:r>
    </w:p>
    <w:p>
      <w:pPr>
        <w:pStyle w:val="TextBody"/>
        <w:bidi w:val="0"/>
        <w:spacing w:lineRule="auto" w:line="288" w:before="12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The following represents our condensed consolidated results of operations for periods indicated (in thousands):</w:t>
      </w:r>
    </w:p>
    <w:tbl>
      <w:tblPr>
        <w:tblW w:w="10205" w:type="dxa"/>
        <w:jc w:val="center"/>
        <w:tblInd w:w="0" w:type="dxa"/>
        <w:tblLayout w:type="fixed"/>
        <w:tblCellMar>
          <w:top w:w="28" w:type="dxa"/>
          <w:left w:w="28" w:type="dxa"/>
          <w:bottom w:w="28" w:type="dxa"/>
          <w:right w:w="28" w:type="dxa"/>
        </w:tblCellMar>
      </w:tblPr>
      <w:tblGrid>
        <w:gridCol w:w="1478"/>
        <w:gridCol w:w="1228"/>
        <w:gridCol w:w="123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478"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contract revenue</w:t>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146,125 </w:t>
            </w:r>
          </w:p>
        </w:tc>
        <w:tc>
          <w:tcPr>
            <w:tcW w:w="271"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122,090 </w:t>
            </w:r>
          </w:p>
        </w:tc>
        <w:tc>
          <w:tcPr>
            <w:tcW w:w="271"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272,604 </w:t>
            </w:r>
          </w:p>
        </w:tc>
        <w:tc>
          <w:tcPr>
            <w:tcW w:w="271"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235,021 </w:t>
            </w:r>
          </w:p>
        </w:tc>
        <w:tc>
          <w:tcPr>
            <w:tcW w:w="318" w:type="dxa"/>
            <w:tcBorders>
              <w:top w:val="single" w:sz="6"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Contract costs (exclusive of depreciation and amortization)</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68,385 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56,518 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111,361 </w:t>
            </w:r>
          </w:p>
        </w:tc>
        <w:tc>
          <w:tcPr>
            <w:tcW w:w="31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69,608 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56,528 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135,391 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113,480 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8,132 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9,044 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8,237 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10,180 </w:t>
            </w:r>
          </w:p>
        </w:tc>
        <w:tc>
          <w:tcPr>
            <w:tcW w:w="318"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5,796 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9,197 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3,746 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31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27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4,265 </w:t>
            </w:r>
          </w:p>
        </w:tc>
        <w:tc>
          <w:tcPr>
            <w:tcW w:w="31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margin</w:t>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271"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8" w:type="dxa"/>
            <w:tcBorders>
              <w:top w:val="doub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financial information </w:t>
            </w:r>
            <w:r>
              <w:rPr>
                <w:rFonts w:ascii="Times New Roman;serif" w:hAnsi="Times New Roman;serif"/>
                <w:b w:val="false"/>
                <w:color w:val="000000"/>
                <w:sz w:val="13"/>
              </w:rPr>
              <w:t>1</w:t>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service billing</w:t>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128,969 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107,997 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243,173 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208,050 </w:t>
            </w:r>
          </w:p>
        </w:tc>
        <w:tc>
          <w:tcPr>
            <w:tcW w:w="31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24,092 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20,203 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40,891 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34,708 </w:t>
            </w:r>
          </w:p>
        </w:tc>
        <w:tc>
          <w:tcPr>
            <w:tcW w:w="318"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net</w:t>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1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hanging="180"/>
        <w:jc w:val="left"/>
        <w:rPr/>
      </w:pPr>
      <w:r>
        <w:rPr>
          <w:rFonts w:ascii="Times New Roman;serif" w:hAnsi="Times New Roman;serif"/>
          <w:b w:val="false"/>
          <w:color w:val="000000"/>
          <w:sz w:val="10"/>
        </w:rPr>
        <w:t>1</w:t>
      </w:r>
      <w:r>
        <w:rPr>
          <w:rFonts w:ascii="Times New Roman;serif" w:hAnsi="Times New Roman;serif"/>
          <w:b w:val="false"/>
          <w:i/>
          <w:color w:val="000000"/>
          <w:sz w:val="16"/>
        </w:rPr>
        <w:t xml:space="preserve">Represents non-GAAP financial measures. See Other Financial Information and Non-GAAP key performance indicators below.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Three months ended June 30, 2026 as compared to the three months ended June 30, 2025</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Gross Contract Revenue</w:t>
      </w:r>
    </w:p>
    <w:p>
      <w:pPr>
        <w:pStyle w:val="TextBody"/>
        <w:bidi w:val="0"/>
        <w:spacing w:lineRule="auto" w:line="288" w:before="120" w:after="283"/>
        <w:ind w:left="0" w:right="0" w:firstLine="468"/>
        <w:jc w:val="both"/>
        <w:rPr/>
      </w:pPr>
      <w:r>
        <w:rPr>
          <w:rFonts w:ascii="Times New Roman;serif" w:hAnsi="Times New Roman;serif"/>
          <w:b w:val="false"/>
          <w:color w:val="000000"/>
          <w:sz w:val="20"/>
        </w:rPr>
        <w:t>Gross contract revenue for the three months ended June 30, 2026, increased $24.0 million or 19.7% to $146.1 million as compared to $122.1 million for the three months ended June 30, 2025. For the three months ended June 30, 2026, gross contract revenue attributable to work performed by our workforce increased $21.0 million, or 19.4% to $129.0 million or 88.3% of gross contract revenue as compared to $108.0 million or 88.5% for the three months ended June 30, 2025 (</w:t>
      </w:r>
      <w:r>
        <w:rPr>
          <w:rFonts w:ascii="Times New Roman;serif" w:hAnsi="Times New Roman;serif"/>
          <w:b w:val="false"/>
          <w:i/>
          <w:color w:val="000000"/>
          <w:sz w:val="20"/>
        </w:rPr>
        <w:t>see Net service billing – non-GAAP</w:t>
      </w:r>
      <w:r>
        <w:rPr>
          <w:rFonts w:ascii="Times New Roman;serif" w:hAnsi="Times New Roman;serif"/>
          <w:b w:val="false"/>
          <w:color w:val="000000"/>
          <w:sz w:val="20"/>
        </w:rPr>
        <w:t>). Of the $24.0 million increase in gross contract revenue during the three months ended June 30, 2026, acquisitions represented $7.5 million of the increase. To evaluate the Company’s growth, revenue from acquisitions is treated as acquired for a period of four quarters post-closing, after which it is considered organic. For each measurement and comparison period, historical balances of acquired and organic revenue bases are adjusted to reflect revenue accordingly.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Changes in gross contract revenue disaggregated between our core markets were as follows (in thousands other than percentages):</w:t>
      </w:r>
    </w:p>
    <w:tbl>
      <w:tblPr>
        <w:tblW w:w="10205" w:type="dxa"/>
        <w:jc w:val="center"/>
        <w:tblInd w:w="0" w:type="dxa"/>
        <w:tblLayout w:type="fixed"/>
        <w:tblCellMar>
          <w:top w:w="28" w:type="dxa"/>
          <w:left w:w="28" w:type="dxa"/>
          <w:bottom w:w="28" w:type="dxa"/>
          <w:right w:w="28" w:type="dxa"/>
        </w:tblCellMar>
      </w:tblPr>
      <w:tblGrid>
        <w:gridCol w:w="853"/>
        <w:gridCol w:w="642"/>
        <w:gridCol w:w="646"/>
        <w:gridCol w:w="211"/>
        <w:gridCol w:w="841"/>
        <w:gridCol w:w="109"/>
        <w:gridCol w:w="109"/>
        <w:gridCol w:w="109"/>
        <w:gridCol w:w="109"/>
        <w:gridCol w:w="314"/>
        <w:gridCol w:w="317"/>
        <w:gridCol w:w="376"/>
        <w:gridCol w:w="109"/>
        <w:gridCol w:w="109"/>
        <w:gridCol w:w="109"/>
        <w:gridCol w:w="211"/>
        <w:gridCol w:w="841"/>
        <w:gridCol w:w="109"/>
        <w:gridCol w:w="109"/>
        <w:gridCol w:w="109"/>
        <w:gridCol w:w="109"/>
        <w:gridCol w:w="314"/>
        <w:gridCol w:w="317"/>
        <w:gridCol w:w="376"/>
        <w:gridCol w:w="109"/>
        <w:gridCol w:w="109"/>
        <w:gridCol w:w="109"/>
        <w:gridCol w:w="211"/>
        <w:gridCol w:w="736"/>
        <w:gridCol w:w="109"/>
        <w:gridCol w:w="109"/>
        <w:gridCol w:w="109"/>
        <w:gridCol w:w="109"/>
        <w:gridCol w:w="262"/>
        <w:gridCol w:w="264"/>
        <w:gridCol w:w="511"/>
      </w:tblGrid>
      <w:tr>
        <w:trPr/>
        <w:tc>
          <w:tcPr>
            <w:tcW w:w="85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2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Gross Contract Revenue</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%GCR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%GCR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Infrastructure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Utilities &amp; Energy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Natural Resources </w:t>
            </w:r>
            <w:r>
              <w:rPr>
                <w:rFonts w:ascii="Times New Roman;serif" w:hAnsi="Times New Roman;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146,125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122,090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24,035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w:t>
            </w:r>
            <w:r>
              <w:rPr>
                <w:color w:val="000000"/>
              </w:rPr>
              <w:t> </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60" w:after="283"/>
        <w:jc w:val="center"/>
        <w:rPr/>
      </w:pPr>
      <w:r>
        <w:rPr/>
      </w:r>
    </w:p>
    <w:tbl>
      <w:tblPr>
        <w:tblW w:w="7824" w:type="dxa"/>
        <w:jc w:val="center"/>
        <w:tblInd w:w="0" w:type="dxa"/>
        <w:tblLayout w:type="fixed"/>
        <w:tblCellMar>
          <w:top w:w="28" w:type="dxa"/>
          <w:left w:w="28" w:type="dxa"/>
          <w:bottom w:w="28" w:type="dxa"/>
          <w:right w:w="28" w:type="dxa"/>
        </w:tblCellMar>
      </w:tblPr>
      <w:tblGrid>
        <w:gridCol w:w="369"/>
        <w:gridCol w:w="324"/>
        <w:gridCol w:w="327"/>
        <w:gridCol w:w="211"/>
        <w:gridCol w:w="631"/>
        <w:gridCol w:w="109"/>
        <w:gridCol w:w="109"/>
        <w:gridCol w:w="109"/>
        <w:gridCol w:w="109"/>
        <w:gridCol w:w="210"/>
        <w:gridCol w:w="211"/>
        <w:gridCol w:w="301"/>
        <w:gridCol w:w="109"/>
        <w:gridCol w:w="109"/>
        <w:gridCol w:w="109"/>
        <w:gridCol w:w="211"/>
        <w:gridCol w:w="631"/>
        <w:gridCol w:w="109"/>
        <w:gridCol w:w="109"/>
        <w:gridCol w:w="109"/>
        <w:gridCol w:w="109"/>
        <w:gridCol w:w="210"/>
        <w:gridCol w:w="211"/>
        <w:gridCol w:w="301"/>
        <w:gridCol w:w="109"/>
        <w:gridCol w:w="109"/>
        <w:gridCol w:w="109"/>
        <w:gridCol w:w="211"/>
        <w:gridCol w:w="631"/>
        <w:gridCol w:w="109"/>
        <w:gridCol w:w="109"/>
        <w:gridCol w:w="109"/>
        <w:gridCol w:w="109"/>
        <w:gridCol w:w="263"/>
        <w:gridCol w:w="263"/>
        <w:gridCol w:w="346"/>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 xml:space="preserve">Acquired </w:t>
            </w:r>
            <w:r>
              <w:rPr>
                <w:rFonts w:ascii="Times New Roman;serif" w:hAnsi="Times New Roman;serif"/>
                <w:b/>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60" w:after="283"/>
        <w:ind w:left="0" w:right="0" w:firstLine="180"/>
        <w:jc w:val="left"/>
        <w:rPr/>
      </w:pPr>
      <w:r>
        <w:rPr/>
      </w:r>
    </w:p>
    <w:p>
      <w:pPr>
        <w:pStyle w:val="TextBody"/>
        <w:bidi w:val="0"/>
        <w:spacing w:lineRule="auto" w:line="288" w:before="60" w:after="283"/>
        <w:ind w:left="0" w:right="0" w:hanging="180"/>
        <w:jc w:val="left"/>
        <w:rPr/>
      </w:pPr>
      <w:r>
        <w:rPr>
          <w:rFonts w:ascii="Times New Roman;serif" w:hAnsi="Times New Roman;serif"/>
          <w:b w:val="false"/>
          <w:i/>
          <w:color w:val="000000"/>
          <w:sz w:val="10"/>
          <w:shd w:fill="FFFFFF" w:val="clear"/>
        </w:rPr>
        <w:t>1</w:t>
      </w:r>
      <w:r>
        <w:rPr>
          <w:rFonts w:ascii="Times New Roman;serif" w:hAnsi="Times New Roman;serif"/>
          <w:b w:val="false"/>
          <w:i/>
          <w:color w:val="000000"/>
          <w:sz w:val="16"/>
          <w:shd w:fill="FFFFFF" w:val="clear"/>
        </w:rPr>
        <w:t>Formerly Emerging Markets which represents environmental, mining, water resources, imaging and mapping and other.</w:t>
      </w:r>
    </w:p>
    <w:p>
      <w:pPr>
        <w:pStyle w:val="TextBody"/>
        <w:bidi w:val="0"/>
        <w:spacing w:lineRule="auto" w:line="288" w:before="60" w:after="283"/>
        <w:ind w:left="0" w:right="0" w:hanging="180"/>
        <w:jc w:val="left"/>
        <w:rPr/>
      </w:pPr>
      <w:r>
        <w:rPr>
          <w:rFonts w:ascii="Times New Roman;serif" w:hAnsi="Times New Roman;serif"/>
          <w:b w:val="false"/>
          <w:i/>
          <w:color w:val="000000"/>
          <w:sz w:val="10"/>
          <w:shd w:fill="FFFFFF" w:val="clear"/>
        </w:rPr>
        <w:t>2</w:t>
      </w:r>
      <w:r>
        <w:rPr>
          <w:rFonts w:ascii="Times New Roman;serif" w:hAnsi="Times New Roman;serif"/>
          <w:b w:val="false"/>
          <w:i/>
          <w:color w:val="000000"/>
          <w:sz w:val="16"/>
          <w:shd w:fill="FFFFFF" w:val="clear"/>
        </w:rPr>
        <w:t>Acquired revenue in prior periods is as previously reported; four quarters post-closing, acquired revenue is reclassified as organic for the purpose of calculating organic growth rates.</w:t>
      </w:r>
    </w:p>
    <w:p>
      <w:pPr>
        <w:pStyle w:val="TextBody"/>
        <w:bidi w:val="0"/>
        <w:spacing w:before="60" w:after="283"/>
        <w:ind w:left="0" w:right="0" w:firstLine="180"/>
        <w:jc w:val="left"/>
        <w:rPr/>
      </w:pPr>
      <w:r>
        <w:rPr/>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gross contract revenue from the building infrastructure market increased $0.6 million or 1.1% as compared to the three months ended June 30, 2025. Building Infrastructure includes commercial, municipal and residential infrastructure. The increase in building infrastructure revenue was the result of acquisitions and organic growth. Within the building infrastructure market, 35.5% of gross contract revenue was derived from residential assignments including single family, multi-family and mixed-use housing stock, 41.3% from commercial assignments including retail, hospitality and quick-serve restaurants (QSR), office and industrial, data centers and healthcare, and 23.2% from municipal assignments. Within residential, 45.1% of gross contract revenue was derived from for-sale homebuilding assignments, 47.4% from residential multi-family and 7.5% from mixed use projects. While the homebuilding market shows signs of rebounding from prior year interest rate impacts, for-sale residential services represented just 6.3% of our total gross contract revenue for the three months ended June 30, 2026. Within commercial, 46.4% of revenue was derived from office and industrial assignments, 46.9% from retail, hospitality, and quick serve restaurants, and 6.7% from healthcare. We continue to experience strong demand for our building infrastructure services and maintain a positive outlook on this market as we continue to experience strength in markets including quick serve restaurants, data centers, industrial distribution facilities, schools, and build-for-rent communities.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revenue from transportation increased $3.8 million or 15.3% as compared to the three months ended June 30, 2025. The increase was attributable to new contract awards in transportation from roadways, transits, ports and harbors, program administration and others, along with acquired transportation backlog which we were able to deliver to customers. Within transportation, 77.3% of our gross contract revenue was derived from public sector roadway customers, including state and local departments of transportation ("DOTs") and tollway operators; 19.1% from private sector roadway customers; 1.6% from ports &amp; harbors customers; 1.1% from bus, rail, and transit customers; and 0.9% from aviation customers. We expect to continue to increase our transportation revenue and improve the diversification of our revenue. We believe the transportation market continues to present significant opportunity for future growth and we remain committed to investing in leadership, technical expertise, business development and acquisitions for this market.</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With the convergence of renewable energy with traditional transmission infrastructure and the continued growth we are projecting in the clean energy transition, we have consolidated renewable energy into the power, utilities and energy category (sometimes referred to herein as the power, utilities and energy market) of our revenue mix and have adjusted historical balances accordingly. For the three months ended June 30, 2026, revenue from power, utilities, and energy increased $10.2 million or 38.0% as compared to the three months ended June 30, 2025. The additional increase in gross contract revenue from the power, utilities, and energy market is principally attributable to acquisitions and increased revenue associated with the expansion of a multi-year utility undergrounding assignment in Florida, and to increases derived from gas pipeline and electric transmission projects nationally. Within the power, utilities, and energy market, 56.9% of our gross contract revenue was derived from customers operating traditional transmission operations, 18.4% was derived from customers focused on alternative energy operations and 24.7% derived from data center customers. The power, utilities, and energy market continues to experience increasing infrastructure investment as changing weather patterns, energy transition mandates and other safety initiatives positively impact demand for the services we provide. Based on recent increases in program commitments within the gas pipeline replacement market, we believe trends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power, utilities, and energy provide meaningful opportunity for continued growth and we are committed to investing resources accordingly.</w:t>
      </w:r>
    </w:p>
    <w:p>
      <w:pPr>
        <w:pStyle w:val="TextBody"/>
        <w:bidi w:val="0"/>
        <w:spacing w:lineRule="auto" w:line="288" w:before="120" w:after="283"/>
        <w:ind w:left="0" w:right="0" w:firstLine="468"/>
        <w:jc w:val="both"/>
        <w:rPr/>
      </w:pPr>
      <w:r>
        <w:rPr>
          <w:rFonts w:ascii="Times New Roman;serif" w:hAnsi="Times New Roman;serif"/>
          <w:b w:val="false"/>
          <w:color w:val="000000"/>
          <w:sz w:val="20"/>
        </w:rPr>
        <w:t>Our natural resources and imaging (</w:t>
      </w:r>
      <w:r>
        <w:rPr>
          <w:rFonts w:ascii="Times New Roman;serif" w:hAnsi="Times New Roman;serif"/>
          <w:b w:val="false"/>
          <w:i/>
          <w:color w:val="000000"/>
          <w:sz w:val="20"/>
        </w:rPr>
        <w:t>formerly emerging markets</w:t>
      </w:r>
      <w:r>
        <w:rPr>
          <w:rFonts w:ascii="Times New Roman;serif" w:hAnsi="Times New Roman;serif"/>
          <w:b w:val="false"/>
          <w:color w:val="000000"/>
          <w:sz w:val="20"/>
        </w:rPr>
        <w:t>) consist of mining, water resources, imaging and mapping, environmental consulting, and other natural resources services. For the three months ended June 30, 2026, revenue from natural resources markets increased $9.5 million or 67.2% as compared to the three months ended June 30, 2025. What had previously been classified under emerging sectors grew to a scale that warranted separate market recognition. Accordingly, the emerging sector was renamed natural resources. The updated name reflects the evolved composition of this market. Gross contract revenue within natural resources was 64.3% from imaging and mapping activities, 13.3% from mining activities where we have specialized in copper mining, 19.3% from water resources activities, and 3.1% from environmental and other natural resources consulting. Scarcities in water resources and the increasing need for water management gives us confidence that we will be able to increase revenue accordingly. With recent and future acquisitions, we expect to experience continued growth from investment in various natural resources.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public sector customers, defined as direct contracts with municipalities, public agencies, or governmental authorities, represented 28.7% and 35.4% of our gross contract revenue, respectively. This does not include work done indirectly on public sector projects. Gross contract revenue from projects for public sector customers are included in the end market most aligned with work performed.</w:t>
      </w:r>
    </w:p>
    <w:p>
      <w:pPr>
        <w:pStyle w:val="TextBody"/>
        <w:bidi w:val="0"/>
        <w:spacing w:lineRule="auto" w:line="288" w:before="3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Contract costs (exclusive of depreciation and amortization)</w:t>
      </w:r>
    </w:p>
    <w:p>
      <w:pPr>
        <w:pStyle w:val="TextBody"/>
        <w:bidi w:val="0"/>
        <w:spacing w:lineRule="auto" w:line="288" w:before="120" w:after="283"/>
        <w:ind w:left="0" w:right="0" w:firstLine="468"/>
        <w:jc w:val="both"/>
        <w:rPr/>
      </w:pPr>
      <w:r>
        <w:rPr>
          <w:rFonts w:ascii="Times New Roman;serif" w:hAnsi="Times New Roman;serif"/>
          <w:b w:val="false"/>
          <w:color w:val="000000"/>
          <w:sz w:val="20"/>
        </w:rPr>
        <w:t xml:space="preserve">Total contract costs, exclusive of depreciation and amortization, increased $11.9 million or 21.1% to $68.4 million for the three months ended June 30, 2026, as compared to $56.5 million for the three months ended June 30, 2025. For the three months ended June 30, 2026 and 2025, total contract costs represented 46.8% and 46.3% of total contract revenue, respectively. For the three months ended June 30, 2026 and 2025 total contract costs represented 53.0% and 52.3% of revenue attributable to our workforce, respectively (see </w:t>
      </w:r>
      <w:r>
        <w:rPr>
          <w:rFonts w:ascii="Times New Roman;serif" w:hAnsi="Times New Roman;serif"/>
          <w:b w:val="false"/>
          <w:i/>
          <w:color w:val="000000"/>
          <w:sz w:val="20"/>
        </w:rPr>
        <w:t>Net Service Billing).</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Direct payroll costs increased $8.8 million or 20.8% to $51.2 million for the three months ended June 30, 2026, as compared to $42.4 million for the three months ended June 30, 2025. The increase in direct payroll costs is primarily driven by higher revenue and increased headcount to support growth, including contributions from recent acquisitions, as well as merit-based compensation increases. Direct payroll accounted for 74.9% of total contract costs for the three months ended June 30, 2026, a decrease of (0.1) percentage points as compared to 75.0% for the three months ended June 30, 2025.</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Direct labor, the component of direct payroll costs associated with the cost of labor relating to work performed on contracts increased $5.6 million or 17.1% to $38.4 million for the three months ended June 30, 2026 as compared to $32.8 million for the three months ended June 30, 2025. The increase in direct labor is primarily due to an increase in staffing to accommodate growth. For the three months ended June 30, 2026 and 2025, direct labor costs represented 26.3% and 26.9% of gross contract revenue, respectively, and represented 29.8% and 30.4% of the revenue attributable to our workforce, respectively.</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Other direct payroll costs, the component of direct payroll costs associated with fringe and incentive compensation (cash and non-cash) increased by $3.4 million or 35.8% to $12.9 million for the three months ended June 30, 2026 as compared to $9.5 million for the three months ended June 30, 2025.</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Sub-consultants and other direct expenses increased $3.1 million or 22.0% to $17.2 million for the three months ended June 30, 2026 as compared to $14.1 million for the three months ended June 30, 2025. For the three months ended June 30, 2026 and 2025, sub-consultant and other direct expenses represented 11.8% and 11.5% of gross contract revenue, respectively.</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Expense</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Total operating expense increased $13.1 million or 23.2% to $69.6 million for the three months ended June 30, 2026 as compared to $56.5 million for the three months ended June 30, 2025.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increased $12.5 million or 25.1% to $62.3 million for the three months ended June 30, 2026, as compared to $49.8 million for the three months ended June 30, 2025. Indirect labor increased $4.2 million or 18.3% to $27.1 million as compared to $22.9 million due to increase in headcount along with merit increases.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General overhead increased $5.7 million or 31.5% to $23.8 million as compared to $18.1 million due to increased costs associated with the overall growth of the Company.</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increased $1.3 million or 20.0% to $7.8 million for the three months ended June 30, 2026 as compared to $6.5 million for the three months ended June 30, 2025. The increase is primarily driven by amortization of new leased assets and higher amortization of acquired intangible assets associated with the RPT acquisition completed in the fourth quarter of 2025, which was not reflected in the prior-year period. The net loss (gain) on the sale of certain IT equipment and automobiles decreased ($0.7) million to ($0.5) million of gain for the three months ended June 30, 2026, as compared to $0.2 million of expense in the three months ended June 30, 2025. </w:t>
      </w:r>
    </w:p>
    <w:p>
      <w:pPr>
        <w:pStyle w:val="TextBody"/>
        <w:bidi w:val="0"/>
        <w:spacing w:lineRule="auto" w:line="288" w:before="24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Other Expense</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Other expense increased by $4.2 million to $5.8 million of expense for the three months ended June 30, 2026 as compared to $1.6 million for the three months ended June 30, 2025.</w:t>
      </w:r>
    </w:p>
    <w:p>
      <w:pPr>
        <w:pStyle w:val="TextBody"/>
        <w:bidi w:val="0"/>
        <w:spacing w:lineRule="auto" w:line="288" w:before="24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Income Tax Expense (Benefit)</w:t>
      </w:r>
    </w:p>
    <w:p>
      <w:pPr>
        <w:pStyle w:val="TextBody"/>
        <w:bidi w:val="0"/>
        <w:spacing w:lineRule="auto" w:line="268" w:before="0" w:after="0"/>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June 30, 2026, decreased by $1.6 million to $(0.2) million benefit, compared to $1.4 million expense for the three months ended June 30, 2025, see Note 2, Income Taxes. Our effective tax rate for the three months ended June 30, 2026, was (6.8)% compared to 18.9% for the three months ended June 30, 2025.</w:t>
      </w:r>
    </w:p>
    <w:p>
      <w:pPr>
        <w:pStyle w:val="TextBody"/>
        <w:bidi w:val="0"/>
        <w:spacing w:lineRule="auto" w:line="288" w:before="240" w:after="283"/>
        <w:ind w:left="0" w:right="0" w:firstLine="468"/>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Income Before Tax and Net Income</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Income before tax decreased by ($5.1) million for the three months ended June 30, 2026, to $2.3 million compared to $7.4 million for the three months ended June 30, 2025. Net income decreased by ($3.5) million to $2.5 million for the three months ended June 30, 2026, as compared to $6.0 million for the three months ended June 30, 2025.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Other financial information and Non-GAAP key performance indicators </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Net service billing (non-GAAP)</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Net service billing increased $21.0 million or 19.4% to $129.0 million for the three months ended June 30, 2026, as compared to $108.0 million for the three months ended June 30, 2025. Net service billing reconciles to gross contract revenue as follows (in thousands):</w:t>
      </w:r>
    </w:p>
    <w:tbl>
      <w:tblPr>
        <w:tblW w:w="6850" w:type="dxa"/>
        <w:jc w:val="center"/>
        <w:tblInd w:w="0" w:type="dxa"/>
        <w:tblLayout w:type="fixed"/>
        <w:tblCellMar>
          <w:top w:w="28" w:type="dxa"/>
          <w:left w:w="28" w:type="dxa"/>
          <w:bottom w:w="28" w:type="dxa"/>
          <w:right w:w="28" w:type="dxa"/>
        </w:tblCellMar>
      </w:tblPr>
      <w:tblGrid>
        <w:gridCol w:w="1435"/>
        <w:gridCol w:w="1257"/>
        <w:gridCol w:w="1267"/>
        <w:gridCol w:w="229"/>
        <w:gridCol w:w="897"/>
        <w:gridCol w:w="118"/>
        <w:gridCol w:w="118"/>
        <w:gridCol w:w="118"/>
        <w:gridCol w:w="118"/>
        <w:gridCol w:w="229"/>
        <w:gridCol w:w="897"/>
        <w:gridCol w:w="167"/>
      </w:tblGrid>
      <w:tr>
        <w:trPr/>
        <w:tc>
          <w:tcPr>
            <w:tcW w:w="143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contract revenue</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sub-consultants and other direct expenses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service billing</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128,969 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107,997 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Because sub-consultants and reimbursable expenses are most often pass-through items with little or no mark-up, they generally have a dilutive effect on gross, operating, and net margins while having little accretive effect on profitability. As such, where possible, we focus our resources and business development efforts principally on increasing revenue derived from our own workforce. Management primarily focuses its internal performance metrics on net service billing.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Adjusted EBITDA (non-GAAP)</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increased $3.9 million or 19.2% to $24.1 million for the three months ended June 30, 2026 as compared to $20.2 million for the three months ended June 30, 2025. Adjusted EBITDA reconciles to net income as follows (in thousands): </w:t>
      </w:r>
    </w:p>
    <w:tbl>
      <w:tblPr>
        <w:tblW w:w="9411" w:type="dxa"/>
        <w:jc w:val="center"/>
        <w:tblInd w:w="0" w:type="dxa"/>
        <w:tblLayout w:type="fixed"/>
        <w:tblCellMar>
          <w:top w:w="28" w:type="dxa"/>
          <w:left w:w="28" w:type="dxa"/>
          <w:bottom w:w="28" w:type="dxa"/>
          <w:right w:w="28" w:type="dxa"/>
        </w:tblCellMar>
      </w:tblPr>
      <w:tblGrid>
        <w:gridCol w:w="1281"/>
        <w:gridCol w:w="1127"/>
        <w:gridCol w:w="1131"/>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343"/>
        <w:gridCol w:w="347"/>
        <w:gridCol w:w="544"/>
      </w:tblGrid>
      <w:tr>
        <w:trPr/>
        <w:tc>
          <w:tcPr>
            <w:tcW w:w="128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service billing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128,969 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107,997 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20,972 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3,532 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2,259 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depreciation &amp;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7,813 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color w:val="000000"/>
              </w:rPr>
            </w:pPr>
            <w:r>
              <w:rPr>
                <w:color w:val="000000"/>
              </w:rPr>
              <w:t>  </w:t>
            </w:r>
            <w:r>
              <w:rPr>
                <w:rFonts w:ascii="Times New Roman;serif" w:hAnsi="Times New Roman;serif"/>
                <w:b w:val="false"/>
                <w:color w:val="000000"/>
                <w:sz w:val="20"/>
              </w:rPr>
              <w:t>+ 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(111.4)</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13,681 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non-cash stock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5,381 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3,093 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acquisition and other non-core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459.5 </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24,092 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20,203 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Adjusted EBITDA includes add backs of $5.4 million and $3.1 million, respectively, relating to non-cash stock compensation expenses from restricted stock awards.</w:t>
      </w:r>
    </w:p>
    <w:p>
      <w:pPr>
        <w:pStyle w:val="TextBody"/>
        <w:bidi w:val="0"/>
        <w:spacing w:lineRule="auto" w:line="288" w:before="3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Adjusted EBITDA Margin, net (non-GAAP)</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Adjusted EBITDA Margin, net represents Adjusted EBITDA (as defined above) as a percentage of net service billing (as defined above). For the three months ended June 30, 2026 and 2025, Adjusted EBITDA Margin, net was 18.7% and 18.7% respectively.</w:t>
      </w:r>
    </w:p>
    <w:p>
      <w:pPr>
        <w:pStyle w:val="TextBody"/>
        <w:bidi w:val="0"/>
        <w:spacing w:lineRule="auto" w:line="288" w:before="360" w:after="283"/>
        <w:jc w:val="both"/>
        <w:rPr>
          <w:rFonts w:ascii="Times New Roman;serif" w:hAnsi="Times New Roman;serif"/>
          <w:b/>
          <w:i/>
          <w:color w:val="000000"/>
          <w:sz w:val="20"/>
        </w:rPr>
      </w:pPr>
      <w:r>
        <w:rPr>
          <w:rFonts w:ascii="Times New Roman;serif" w:hAnsi="Times New Roman;serif"/>
          <w:b/>
          <w:i/>
          <w:color w:val="000000"/>
          <w:sz w:val="20"/>
        </w:rPr>
        <w:t>Six months ended June 30, 2026 as compared to the six months ended June 30, 2025</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Gross Contract Revenue</w:t>
      </w:r>
    </w:p>
    <w:p>
      <w:pPr>
        <w:pStyle w:val="TextBody"/>
        <w:bidi w:val="0"/>
        <w:spacing w:lineRule="auto" w:line="288" w:before="120" w:after="283"/>
        <w:ind w:left="0" w:right="0" w:firstLine="468"/>
        <w:jc w:val="both"/>
        <w:rPr/>
      </w:pPr>
      <w:r>
        <w:rPr>
          <w:rFonts w:ascii="Times New Roman;serif" w:hAnsi="Times New Roman;serif"/>
          <w:b w:val="false"/>
          <w:color w:val="000000"/>
          <w:sz w:val="20"/>
        </w:rPr>
        <w:t>Gross contract revenue for the six months ended June 30, 2026, increased $37.6 million or 16.0% to $272.6 million as compared to $235.0 million for the six months ended June 30, 2025. For the six months ended June 30, 2026, gross contract revenue attributable to work performed by our workforce increased $35.1 million, or 16.9% to $243.2 million or 89.2% of gross contract revenue as compared to $208.1 million or 88.6% for the six months ended June 30, 2025 (</w:t>
      </w:r>
      <w:r>
        <w:rPr>
          <w:rFonts w:ascii="Times New Roman;serif" w:hAnsi="Times New Roman;serif"/>
          <w:b w:val="false"/>
          <w:i/>
          <w:color w:val="000000"/>
          <w:sz w:val="20"/>
        </w:rPr>
        <w:t>see Net service billing – non-GAAP</w:t>
      </w:r>
      <w:r>
        <w:rPr>
          <w:rFonts w:ascii="Times New Roman;serif" w:hAnsi="Times New Roman;serif"/>
          <w:b w:val="false"/>
          <w:color w:val="000000"/>
          <w:sz w:val="20"/>
        </w:rPr>
        <w:t>). Of the $37.6 million increase in gross contract revenue during the six months ended June 30, 2026, acquisitions represented $16.1 million of the increase. To evaluate the Company’s growth, revenue from acquisitions is treated as acquired for a period of four quarters post-closing, after which it is considered organic. For each measurement and comparison period, historical balances of acquired and organic revenue bases are adjusted to reflect revenue accordingly.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Changes in gross contract revenue disaggregated between our core end markets were as follows (in thousands other than percentages):</w:t>
      </w:r>
    </w:p>
    <w:tbl>
      <w:tblPr>
        <w:tblW w:w="10205" w:type="dxa"/>
        <w:jc w:val="center"/>
        <w:tblInd w:w="0" w:type="dxa"/>
        <w:tblLayout w:type="fixed"/>
        <w:tblCellMar>
          <w:top w:w="28" w:type="dxa"/>
          <w:left w:w="28" w:type="dxa"/>
          <w:bottom w:w="28" w:type="dxa"/>
          <w:right w:w="28" w:type="dxa"/>
        </w:tblCellMar>
      </w:tblPr>
      <w:tblGrid>
        <w:gridCol w:w="853"/>
        <w:gridCol w:w="642"/>
        <w:gridCol w:w="646"/>
        <w:gridCol w:w="211"/>
        <w:gridCol w:w="841"/>
        <w:gridCol w:w="109"/>
        <w:gridCol w:w="109"/>
        <w:gridCol w:w="109"/>
        <w:gridCol w:w="109"/>
        <w:gridCol w:w="314"/>
        <w:gridCol w:w="317"/>
        <w:gridCol w:w="376"/>
        <w:gridCol w:w="109"/>
        <w:gridCol w:w="109"/>
        <w:gridCol w:w="109"/>
        <w:gridCol w:w="211"/>
        <w:gridCol w:w="841"/>
        <w:gridCol w:w="109"/>
        <w:gridCol w:w="109"/>
        <w:gridCol w:w="109"/>
        <w:gridCol w:w="109"/>
        <w:gridCol w:w="314"/>
        <w:gridCol w:w="317"/>
        <w:gridCol w:w="376"/>
        <w:gridCol w:w="109"/>
        <w:gridCol w:w="109"/>
        <w:gridCol w:w="109"/>
        <w:gridCol w:w="211"/>
        <w:gridCol w:w="736"/>
        <w:gridCol w:w="109"/>
        <w:gridCol w:w="109"/>
        <w:gridCol w:w="109"/>
        <w:gridCol w:w="109"/>
        <w:gridCol w:w="262"/>
        <w:gridCol w:w="264"/>
        <w:gridCol w:w="511"/>
      </w:tblGrid>
      <w:tr>
        <w:trPr/>
        <w:tc>
          <w:tcPr>
            <w:tcW w:w="85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4"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2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Gross Contract Revenue</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%GCR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%GCR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Infrastructure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Utilities &amp; Energy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Natural Resources </w:t>
            </w:r>
            <w:r>
              <w:rPr>
                <w:rFonts w:ascii="Times New Roman;serif" w:hAnsi="Times New Roman;serif"/>
                <w:b w:val="false"/>
                <w:color w:val="000000"/>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272,604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235,021</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37,583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w:t>
            </w:r>
            <w:r>
              <w:rPr>
                <w:color w:val="000000"/>
              </w:rPr>
              <w:t> </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tbl>
      <w:tblPr>
        <w:tblW w:w="7401" w:type="dxa"/>
        <w:jc w:val="center"/>
        <w:tblInd w:w="0" w:type="dxa"/>
        <w:tblLayout w:type="fixed"/>
        <w:tblCellMar>
          <w:top w:w="28" w:type="dxa"/>
          <w:left w:w="28" w:type="dxa"/>
          <w:bottom w:w="28" w:type="dxa"/>
          <w:right w:w="28" w:type="dxa"/>
        </w:tblCellMar>
      </w:tblPr>
      <w:tblGrid>
        <w:gridCol w:w="369"/>
        <w:gridCol w:w="324"/>
        <w:gridCol w:w="327"/>
        <w:gridCol w:w="368"/>
        <w:gridCol w:w="368"/>
        <w:gridCol w:w="109"/>
        <w:gridCol w:w="109"/>
        <w:gridCol w:w="109"/>
        <w:gridCol w:w="109"/>
        <w:gridCol w:w="210"/>
        <w:gridCol w:w="211"/>
        <w:gridCol w:w="301"/>
        <w:gridCol w:w="109"/>
        <w:gridCol w:w="109"/>
        <w:gridCol w:w="109"/>
        <w:gridCol w:w="368"/>
        <w:gridCol w:w="368"/>
        <w:gridCol w:w="109"/>
        <w:gridCol w:w="109"/>
        <w:gridCol w:w="109"/>
        <w:gridCol w:w="109"/>
        <w:gridCol w:w="210"/>
        <w:gridCol w:w="211"/>
        <w:gridCol w:w="301"/>
        <w:gridCol w:w="109"/>
        <w:gridCol w:w="109"/>
        <w:gridCol w:w="109"/>
        <w:gridCol w:w="315"/>
        <w:gridCol w:w="316"/>
        <w:gridCol w:w="109"/>
        <w:gridCol w:w="109"/>
        <w:gridCol w:w="109"/>
        <w:gridCol w:w="109"/>
        <w:gridCol w:w="263"/>
        <w:gridCol w:w="263"/>
        <w:gridCol w:w="346"/>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 xml:space="preserve">Acquired </w:t>
            </w:r>
            <w:r>
              <w:rPr>
                <w:rFonts w:ascii="Times New Roman;serif" w:hAnsi="Times New Roman;serif"/>
                <w:b/>
                <w:color w:val="000000"/>
                <w:sz w:val="13"/>
              </w:rPr>
              <w:t>2</w:t>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16,097</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w:t>
            </w:r>
            <w:r>
              <w:rPr>
                <w:color w:val="000000"/>
              </w:rPr>
              <w:t> </w:t>
            </w:r>
          </w:p>
        </w:tc>
        <w:tc>
          <w:tcPr>
            <w:tcW w:w="3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11,476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3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4,621</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w:t>
            </w:r>
            <w:r>
              <w:rPr>
                <w:color w:val="000000"/>
              </w:rPr>
              <w:t> </w:t>
            </w:r>
          </w:p>
        </w:tc>
        <w:tc>
          <w:tcPr>
            <w:tcW w:w="3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60" w:after="283"/>
        <w:jc w:val="left"/>
        <w:rPr/>
      </w:pPr>
      <w:r>
        <w:rPr/>
      </w:r>
    </w:p>
    <w:p>
      <w:pPr>
        <w:pStyle w:val="TextBody"/>
        <w:bidi w:val="0"/>
        <w:spacing w:lineRule="auto" w:line="288" w:before="120" w:after="283"/>
        <w:ind w:left="0" w:right="0" w:hanging="180"/>
        <w:jc w:val="left"/>
        <w:rPr>
          <w:rFonts w:ascii="Times New Roman;serif" w:hAnsi="Times New Roman;serif"/>
          <w:b w:val="false"/>
          <w:i/>
          <w:color w:val="000000"/>
          <w:sz w:val="16"/>
          <w:shd w:fill="FFFFFF" w:val="clear"/>
        </w:rPr>
      </w:pPr>
      <w:r>
        <w:rPr>
          <w:rFonts w:ascii="Times New Roman;serif" w:hAnsi="Times New Roman;serif"/>
          <w:b w:val="false"/>
          <w:i/>
          <w:color w:val="000000"/>
          <w:sz w:val="16"/>
          <w:shd w:fill="FFFFFF" w:val="clear"/>
        </w:rPr>
        <w:t>1Formerly Emerging Markets which represents environmental, mining, water resources, imaging and mapping and other.</w:t>
      </w:r>
    </w:p>
    <w:p>
      <w:pPr>
        <w:pStyle w:val="TextBody"/>
        <w:bidi w:val="0"/>
        <w:spacing w:lineRule="auto" w:line="288" w:before="120" w:after="283"/>
        <w:ind w:left="0" w:right="0" w:hanging="180"/>
        <w:jc w:val="left"/>
        <w:rPr>
          <w:rFonts w:ascii="Times New Roman;serif" w:hAnsi="Times New Roman;serif"/>
          <w:b w:val="false"/>
          <w:i/>
          <w:color w:val="000000"/>
          <w:sz w:val="16"/>
          <w:shd w:fill="FFFFFF" w:val="clear"/>
        </w:rPr>
      </w:pPr>
      <w:r>
        <w:rPr>
          <w:rFonts w:ascii="Times New Roman;serif" w:hAnsi="Times New Roman;serif"/>
          <w:b w:val="false"/>
          <w:i/>
          <w:color w:val="000000"/>
          <w:sz w:val="16"/>
          <w:shd w:fill="FFFFFF" w:val="clear"/>
        </w:rPr>
        <w:t>2Acquired revenue in prior periods is as previously reported; four quarters post-closing, acquired revenue is reclassified as organic for the purpose of calculating organic growth rates.</w:t>
      </w:r>
    </w:p>
    <w:p>
      <w:pPr>
        <w:pStyle w:val="TextBody"/>
        <w:bidi w:val="0"/>
        <w:spacing w:before="60" w:after="283"/>
        <w:jc w:val="left"/>
        <w:rPr/>
      </w:pPr>
      <w:r>
        <w:rPr/>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gross contract revenue from our building infrastructure market increased $0.9 million or 0.9% as compared to the six months ended June 30, 2025. Building infrastructure includes commercial, municipal and residential infrastructure. The increase in building infrastructure revenue is the result of acquisitions. Within the building infrastructure market, 36.4% of gross contract revenue was derived from residential assignments including single family, multi-family and mixed-use housing stock, 41.4% from commercial assignments including retail, hospitality and quick-serve restaurants (QSR), office and industrial, data centers and healthcare, and 22.2% from municipal assignments including, parks and schools. Within residential, 44.8% of gross contract revenue was derived from for-sale homebuilding assignments, 47.2% from residential multi-family and 8.0% from mixed use projects. While the homebuilding market shows signs of rebounding from prior year interest rate impacts, for-sale residential services represented just 6.6% of our total gross contract revenue for the six months ended June 30, 2026. Within commercial, 47.4% of revenue was derived from office and industrial assignments, 46.9% from retail, hospitality, and quick serve restaurants, and 5.7% from healthcare. We continue to experience strong demand for our building infrastructure services and maintain a positive outlook on this market as we continue to experience strength in markets including quick serve restaurants, industrial distribution facilities, schools, and build-for-rent communities.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revenue from transportation increased $6.7 million or 13.8% as compared to the six months ended June 30, 2025. The increase was attributable to new contract awards in transportation from roadways, transits, ports and harbors, program administration and others, along with acquired transportation backlog which we were able to deliver to customers. Within transportation, 77.1% of our gross contract revenue was derived from public sector roadway customers, including state and local departments of transportation ("DOTs") and tollway operators; 19.4% from private sector roadway customers; 1.3% from ports &amp; harbors customers; 1.6% from aviation customers; and 0.6% from bus, rail, and transit customers. We expect to continue to increase our transportation revenue and improve the diversification of our revenue. We believe the transportation market continues to present significant opportunity for future growth and we remain committed to investing in leadership, technical expertise, business development and acquisitions for this market.</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With the convergence of alternative energy, data centers, and traditional transmission infrastructure, and in light of continued growth we are projecting across these areas, we have consolidated alternative energy and data centers into the power and utilities (sometimes referred to herein as the power, utilities and energy market) of our revenue mix and have adjusted historical balances accordingly. For the six months ended June 30, 2026, revenue from power and utilities increased $19.6 million or 37.6% as compared to the six months ended June 30, 2025. The additional increase in gross contract revenue from the power and utilities market is principally attributable to acquisitions and increased revenue associated with the expansion of a multi-year utility undergrounding assignment in Florida, and to increases derived from gas pipeline and electric transmission projects nationally. Within the power and utilities market, 58.8% of our gross contract revenue was derived from customers operating traditional transmission operations, 18.4% was derived from customers focused on alternative energy operations, with the remaining 22.8% derived from data center customers. The power and utilities market continues to experience increasing infrastructure investment as changing weather patterns, energy transition mandates and other safety initiatives positively impact demand for the services we provide.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recent increases in program commitments within the gas pipeline replacement market, we believe trends in power and utilities provide meaningful opportunity for continued growth and we are committed to investing resources accordingly.</w:t>
      </w:r>
    </w:p>
    <w:p>
      <w:pPr>
        <w:pStyle w:val="TextBody"/>
        <w:bidi w:val="0"/>
        <w:spacing w:lineRule="auto" w:line="288" w:before="120" w:after="283"/>
        <w:ind w:left="0" w:right="0" w:firstLine="468"/>
        <w:jc w:val="both"/>
        <w:rPr/>
      </w:pPr>
      <w:r>
        <w:rPr>
          <w:rFonts w:ascii="Times New Roman;serif" w:hAnsi="Times New Roman;serif"/>
          <w:b w:val="false"/>
          <w:color w:val="000000"/>
          <w:sz w:val="20"/>
        </w:rPr>
        <w:t>Our natural resources and imaging (</w:t>
      </w:r>
      <w:r>
        <w:rPr>
          <w:rFonts w:ascii="Times New Roman;serif" w:hAnsi="Times New Roman;serif"/>
          <w:b w:val="false"/>
          <w:i/>
          <w:color w:val="000000"/>
          <w:sz w:val="20"/>
        </w:rPr>
        <w:t>formerly emerging markets</w:t>
      </w:r>
      <w:r>
        <w:rPr>
          <w:rFonts w:ascii="Times New Roman;serif" w:hAnsi="Times New Roman;serif"/>
          <w:b w:val="false"/>
          <w:color w:val="000000"/>
          <w:sz w:val="20"/>
        </w:rPr>
        <w:t>) consist of mining, water resources, imaging and mapping, environmental consulting, and other natural resources services. For the six months ended June 30, 2026, revenue from natural resources and imaging markets increased $10.4 million or 40.1% as compared to the six months ended June 30, 2025. What was previously classified under emerging sectors has now grown to a scale that warrants separate market recognition. As a result, the emerging sector is now being renamed natural resources and imaging. This updated name reflects the evolving composition of the market. Gross contract revenue within our natural resources and imaging was 57.2% from imaging and mapping activities, 13.8% from mining activities where we have specialized in copper mining, 23.3% from water resources activities, and 5.7% from environmental and other natural resources consulting. Scarcities in water resources and the increasing need for water management gives us confidence that we will be able to increase revenue accordingly. With recent and future acquisitions, we expect to experience continued growth from investment in various natural resources and imaging services.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public sector customers, defined as direct contracts with municipalities, public agencies, or governmental authorities, represented 28.9% and 33.8% of our gross contract revenue, respectively. This does not include work done indirectly on public sector projects. Gross contract revenue from projects for public sector clients are included in the end market most aligned with work performed.</w:t>
      </w:r>
    </w:p>
    <w:p>
      <w:pPr>
        <w:pStyle w:val="TextBody"/>
        <w:bidi w:val="0"/>
        <w:spacing w:lineRule="auto" w:line="288" w:before="3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Contract costs (exclusive of depreciation and amortization)</w:t>
      </w:r>
    </w:p>
    <w:p>
      <w:pPr>
        <w:pStyle w:val="TextBody"/>
        <w:bidi w:val="0"/>
        <w:spacing w:lineRule="auto" w:line="288" w:before="120" w:after="283"/>
        <w:ind w:left="0" w:right="0" w:firstLine="468"/>
        <w:jc w:val="both"/>
        <w:rPr/>
      </w:pPr>
      <w:r>
        <w:rPr>
          <w:rFonts w:ascii="Times New Roman;serif" w:hAnsi="Times New Roman;serif"/>
          <w:b w:val="false"/>
          <w:color w:val="000000"/>
          <w:sz w:val="20"/>
        </w:rPr>
        <w:t xml:space="preserve">Total contract costs, exclusive of depreciation and amortization, increased $17.6 million or 15.8% to $129.0 million for the six months ended June 30, 2026, as compared to $111.4 million for the six months ended June 30, 2025. For the six months ended June 30, 2026 and 2025, total contract costs represented 47.3% and 47.4% of total contract revenue, respectively. For the six months ended June 30, 2026 and 2025 total contract costs represented 53.0% and 53.5% of revenue attributable to our workforce, respectively (see </w:t>
      </w:r>
      <w:r>
        <w:rPr>
          <w:rFonts w:ascii="Times New Roman;serif" w:hAnsi="Times New Roman;serif"/>
          <w:b w:val="false"/>
          <w:i/>
          <w:color w:val="000000"/>
          <w:sz w:val="20"/>
        </w:rPr>
        <w:t>Net Service Billing).</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Direct payroll costs increased $15.1 million or 17.9% to $99.5 million for the six months ended June 30, 2026, as compared to $84.4 million for the six months ended June 30, 2025. Direct payroll accounted for 77.1% of total contract costs for the six months ended June 30, 2026, an increase of 1.3 percentage points as compared to 75.8% for the six months ended June 30, 2025.</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Direct labor, the component of direct payroll costs associated with the cost of labor relating to work performed on contracts increased $11.0 million or 17.1% to $75.2 million for the six months ended June 30, 2026 as compared to $64.2 million for the six months ended June 30, 2025. The increase in direct labor is primarily due to an increase in staffing to accommodate growth. For the six months ended June 30, 2026 and 2025, direct labor costs represented 27.6% and 27.3% of gross contract revenue, respectively and represented 30.9% and 30.9% of the revenue attributable to our workforce, respectively.</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Other direct payroll costs, the component of direct payroll costs associated with fringe and incentive compensation (cash and non-cash) increased by $4.2 million or 20.8% to $24.4 million as compared to $20.2 million.</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Sub-consultants and other direct expenses increased $2.4 million or 8.9% to $29.4 million for the six months ended June 30, 2026 as compared to $27.0 million for the six months ended June 30, 2025. For the six months ended June 30, 2026 and 2025, sub-consultant and other direct expenses represented 10.8% and 11.5% of gross contract revenue, respectively.</w:t>
      </w:r>
    </w:p>
    <w:p>
      <w:pPr>
        <w:pStyle w:val="TextBody"/>
        <w:bidi w:val="0"/>
        <w:spacing w:lineRule="auto" w:line="288" w:before="3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Expense</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Total operating expense increased $21.9 million or 19.3% to $135.4 million for the six months ended June 30, 2026 as compared to $113.5 million for the six months ended June 30, 2025.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increased $19.9 million or 19.9% to $120.1 million for the six months ended June 30, 2026, as compared to $100.2 million for the six months ended June 30, 2025. Indirect labor increased $6.8 million or 14.9% to $52.3 million as compared to $45.5 million primarily due to an increase in staffing to accommodate growth. General overhead increased $10.3 million or 28.9% to $45.9 million as compared to $35.6 million due to increased costs associated with the overall growth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increased $3.1 million or 23.7% to $16.2 million for the six months ended June 30, 2026 as compared to $13.1 million for the six months ended June 30, 2025. The net loss (gain) on the sale of certain IT equipment and automobiles decreased ($1.1) million to ($0.9) million of gain for the six months ended June 30, 2026, as compared to $0.2 million of loss for the six months ended June 30, 2025. </w:t>
      </w:r>
    </w:p>
    <w:p>
      <w:pPr>
        <w:pStyle w:val="TextBody"/>
        <w:bidi w:val="0"/>
        <w:spacing w:lineRule="auto" w:line="288" w:before="3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 (Income) Expense</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Other expense increased by $5.5 million to $9.2 million of expense for the six months ended June 30, 2026 as compared to $3.7 million for the six months ended June 30, 2025.</w:t>
      </w:r>
    </w:p>
    <w:p>
      <w:pPr>
        <w:pStyle w:val="TextBody"/>
        <w:bidi w:val="0"/>
        <w:spacing w:lineRule="auto" w:line="288" w:before="3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Income Tax Expense</w:t>
      </w:r>
    </w:p>
    <w:p>
      <w:pPr>
        <w:pStyle w:val="TextBody"/>
        <w:bidi w:val="0"/>
        <w:spacing w:lineRule="auto" w:line="288" w:before="120" w:after="283"/>
        <w:ind w:left="0" w:right="0" w:firstLine="468"/>
        <w:jc w:val="both"/>
        <w:rPr/>
      </w:pPr>
      <w:r>
        <w:rPr>
          <w:rFonts w:ascii="Times New Roman;serif" w:hAnsi="Times New Roman;serif"/>
          <w:b w:val="false"/>
          <w:color w:val="000000"/>
          <w:sz w:val="20"/>
        </w:rPr>
        <w:t xml:space="preserve">Income tax expense for the six months ended June 30, 2026, decreased by $2.0 million to $0.2 million, as compared to $2.2 million for the six months ended June 30, 2025, see note 2, </w:t>
      </w:r>
      <w:r>
        <w:rPr>
          <w:rFonts w:ascii="Times New Roman;serif" w:hAnsi="Times New Roman;serif"/>
          <w:b w:val="false"/>
          <w:i/>
          <w:color w:val="000000"/>
          <w:sz w:val="20"/>
        </w:rPr>
        <w:t xml:space="preserve">Income Taxes. </w:t>
      </w:r>
      <w:r>
        <w:rPr>
          <w:rFonts w:ascii="Times New Roman;serif" w:hAnsi="Times New Roman;serif"/>
          <w:b w:val="false"/>
          <w:color w:val="000000"/>
          <w:sz w:val="20"/>
        </w:rPr>
        <w:t xml:space="preserve">Our effective tax rate for the six months ended June 30, 2026, was (25.7)% as compared to 33.7% for the six months ended June 30, 2025. </w:t>
      </w:r>
    </w:p>
    <w:p>
      <w:pPr>
        <w:pStyle w:val="TextBody"/>
        <w:bidi w:val="0"/>
        <w:spacing w:before="120" w:after="283"/>
        <w:ind w:left="0" w:right="0" w:firstLine="468"/>
        <w:jc w:val="both"/>
        <w:rPr/>
      </w:pPr>
      <w:r>
        <w:rPr/>
      </w:r>
    </w:p>
    <w:p>
      <w:pPr>
        <w:pStyle w:val="TextBody"/>
        <w:bidi w:val="0"/>
        <w:spacing w:lineRule="auto" w:line="288" w:before="120" w:after="283"/>
        <w:ind w:left="0" w:right="0" w:firstLine="468"/>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Income Before Tax and Net Income</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Income before tax decreased by ($7.4) million for the six months ended June 30, 2026, to ($1.0) million of loss compared to $6.4 million of income for the six months ended June 30, 2025. Net income decreased by ($5.5) million to ($1.2) million of net loss for the six months ended June 30, 2026, as compared to $4.3 million of net income for the six months ended June 30, 2025.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Other financial information and Non-GAAP key performance indicators </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Net service billing (non-GAAP)</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Net service billing increased $35.1 million or 16.9% to $243.2 million for the six months ended June 30, 2026, as compared to $208.1 million for the six months ended June 30, 2025. Net service billing reconciles to gross contract revenue as follows (in thousands):</w:t>
      </w:r>
    </w:p>
    <w:tbl>
      <w:tblPr>
        <w:tblW w:w="6655" w:type="dxa"/>
        <w:jc w:val="center"/>
        <w:tblInd w:w="0" w:type="dxa"/>
        <w:tblLayout w:type="fixed"/>
        <w:tblCellMar>
          <w:top w:w="28" w:type="dxa"/>
          <w:left w:w="28" w:type="dxa"/>
          <w:bottom w:w="28" w:type="dxa"/>
          <w:right w:w="28" w:type="dxa"/>
        </w:tblCellMar>
      </w:tblPr>
      <w:tblGrid>
        <w:gridCol w:w="1435"/>
        <w:gridCol w:w="1257"/>
        <w:gridCol w:w="1267"/>
        <w:gridCol w:w="213"/>
        <w:gridCol w:w="837"/>
        <w:gridCol w:w="110"/>
        <w:gridCol w:w="110"/>
        <w:gridCol w:w="110"/>
        <w:gridCol w:w="110"/>
        <w:gridCol w:w="213"/>
        <w:gridCol w:w="837"/>
        <w:gridCol w:w="156"/>
      </w:tblGrid>
      <w:tr>
        <w:trPr/>
        <w:tc>
          <w:tcPr>
            <w:tcW w:w="143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contract revenue</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272,604 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235,021 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sub-consultants and other direct expenses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service billing</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243,173 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208,050 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Because sub-consultants and reimbursable expenses are most often pass-through items with little or no mark-up, they generally have a dilutive effect on gross, operating, and net margins while having little accretive effect on profitability. As such, where possible, we focus our resources and business development efforts principally on increasing revenue derived from our own workforce. Management primarily focuses its internal performance metrics on net service billing.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Adjusted EBITDA (non-GAAP)</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Adjusted EBITDA increased $6.2 million or 17.8% to $40.9 million for the six months ended June 30, 2026 as compared to $34.7 million for the six months ended June 30, 2025. Adjusted EBITDA reconciles to net income as follows (in thousands): </w:t>
      </w:r>
    </w:p>
    <w:tbl>
      <w:tblPr>
        <w:tblW w:w="9411" w:type="dxa"/>
        <w:jc w:val="center"/>
        <w:tblInd w:w="0" w:type="dxa"/>
        <w:tblLayout w:type="fixed"/>
        <w:tblCellMar>
          <w:top w:w="28" w:type="dxa"/>
          <w:left w:w="28" w:type="dxa"/>
          <w:bottom w:w="28" w:type="dxa"/>
          <w:right w:w="28" w:type="dxa"/>
        </w:tblCellMar>
      </w:tblPr>
      <w:tblGrid>
        <w:gridCol w:w="1282"/>
        <w:gridCol w:w="1123"/>
        <w:gridCol w:w="1134"/>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343"/>
        <w:gridCol w:w="347"/>
        <w:gridCol w:w="544"/>
      </w:tblGrid>
      <w:tr>
        <w:trPr/>
        <w:tc>
          <w:tcPr>
            <w:tcW w:w="128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Service Billing</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243,173 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208,050 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35,123 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4,265 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(128.3)</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6,794 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depreciation &amp;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16,219 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0"/>
              <w:jc w:val="left"/>
              <w:rPr>
                <w:color w:val="000000"/>
              </w:rPr>
            </w:pPr>
            <w:r>
              <w:rPr>
                <w:color w:val="000000"/>
              </w:rPr>
              <w:t>  </w:t>
            </w:r>
            <w:r>
              <w:rPr>
                <w:rFonts w:ascii="Times New Roman;serif" w:hAnsi="Times New Roman;serif"/>
                <w:b w:val="false"/>
                <w:color w:val="000000"/>
                <w:sz w:val="20"/>
              </w:rPr>
              <w:t>+ income tax benefit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22,053 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23,871 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non-cash stock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9,577 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9,734 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544"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acquisition and other non-core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739.6 </w:t>
            </w:r>
          </w:p>
        </w:tc>
        <w:tc>
          <w:tcPr>
            <w:tcW w:w="5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40,891 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34,708 </w:t>
            </w:r>
          </w:p>
        </w:tc>
        <w:tc>
          <w:tcPr>
            <w:tcW w:w="271"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6,183 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Adjusted EBITDA includes add backs of $9.6 million and $9.7 million, respectively, relating to non-cash stock compensation expenses from restricted stock awards.</w:t>
      </w:r>
    </w:p>
    <w:p>
      <w:pPr>
        <w:pStyle w:val="TextBody"/>
        <w:bidi w:val="0"/>
        <w:spacing w:lineRule="auto" w:line="288" w:before="36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Adjusted EBITDA Margin, net (non-GAAP)</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Adjusted EBITDA Margin, net represents Adjusted EBITDA (as defined above) as a percentage of net service billing (as defined above). For the six months ended June 30, 2026 and 2025, Adjusted EBITDA Margin, net was 16.8% and 16.7%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Backlog (other key performance metrics)</w:t>
      </w:r>
    </w:p>
    <w:p>
      <w:pPr>
        <w:pStyle w:val="TextBody"/>
        <w:bidi w:val="0"/>
        <w:spacing w:lineRule="auto" w:line="288" w:before="12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Our backlog increased $179.6 million or 37.5% to $658.7 million during the six months ended June 30, 2026, as compared to $479.1 million at December 31, 2025. At June 30, 2026 and December 31, 2025 our backlog was comprised as follows:</w:t>
      </w:r>
    </w:p>
    <w:tbl>
      <w:tblPr>
        <w:tblW w:w="5185" w:type="dxa"/>
        <w:jc w:val="center"/>
        <w:tblInd w:w="0" w:type="dxa"/>
        <w:tblLayout w:type="fixed"/>
        <w:tblCellMar>
          <w:top w:w="28" w:type="dxa"/>
          <w:left w:w="28" w:type="dxa"/>
          <w:bottom w:w="28" w:type="dxa"/>
          <w:right w:w="28" w:type="dxa"/>
        </w:tblCellMar>
      </w:tblPr>
      <w:tblGrid>
        <w:gridCol w:w="793"/>
        <w:gridCol w:w="697"/>
        <w:gridCol w:w="699"/>
        <w:gridCol w:w="250"/>
        <w:gridCol w:w="250"/>
        <w:gridCol w:w="624"/>
        <w:gridCol w:w="109"/>
        <w:gridCol w:w="109"/>
        <w:gridCol w:w="109"/>
        <w:gridCol w:w="314"/>
        <w:gridCol w:w="314"/>
        <w:gridCol w:w="91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ind w:left="0" w:right="0" w:hanging="180"/>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89" w:type="dxa"/>
            <w:gridSpan w:val="3"/>
            <w:tcBorders/>
            <w:shd w:fill="CFF0FC" w:val="clear"/>
            <w:tcMar>
              <w:top w:w="0" w:type="dxa"/>
              <w:left w:w="0" w:type="dxa"/>
              <w:bottom w:w="0" w:type="dxa"/>
              <w:right w:w="0" w:type="dxa"/>
            </w:tcMar>
            <w:vAlign w:val="center"/>
          </w:tcPr>
          <w:p>
            <w:pPr>
              <w:pStyle w:val="TableContents"/>
              <w:bidi w:val="0"/>
              <w:spacing w:lineRule="auto" w:line="276" w:before="15"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Building Infrastructure</w:t>
            </w:r>
          </w:p>
        </w:tc>
        <w:tc>
          <w:tcPr>
            <w:tcW w:w="500"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2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9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5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62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917" w:type="dxa"/>
            <w:tcBorders/>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Power, Utilities &amp; Energy</w:t>
            </w:r>
          </w:p>
        </w:tc>
        <w:tc>
          <w:tcPr>
            <w:tcW w:w="500"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24"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917" w:type="dxa"/>
            <w:tcBorders/>
            <w:shd w:fill="CFF0FC" w:val="clear"/>
            <w:tcMar>
              <w:top w:w="0" w:type="dxa"/>
              <w:left w:w="0" w:type="dxa"/>
              <w:bottom w:w="0" w:type="dxa"/>
              <w:right w:w="0" w:type="dxa"/>
            </w:tcMar>
            <w:vAlign w:val="center"/>
          </w:tcPr>
          <w:p>
            <w:pPr>
              <w:pStyle w:val="TableContents"/>
              <w:bidi w:val="0"/>
              <w:spacing w:lineRule="auto" w:line="273"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Natural Resources</w:t>
            </w:r>
          </w:p>
        </w:tc>
        <w:tc>
          <w:tcPr>
            <w:tcW w:w="5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62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17"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468"/>
        <w:jc w:val="both"/>
        <w:rPr/>
      </w:pPr>
      <w:r>
        <w:rPr>
          <w:rFonts w:ascii="Times New Roman;serif" w:hAnsi="Times New Roman;serif"/>
          <w:b w:val="false"/>
          <w:color w:val="000000"/>
          <w:sz w:val="20"/>
        </w:rPr>
        <w:t>Our principal sources of liquidity are our cash and cash equivalents balances, cash flow from operations, borrowing capacity under our revolving credit facility under our Credit Agreement (as defined below), lease financing, proceeds from stock sales and other structured debt securities. Our principal uses of cash are operating expenses, working capital requirements, capital expenditures, repayment of debt, acquisitions, and acquisition related payments. On June 30, 2026, we maintained $250.0 million of aggregate revolving commitments under our Credit Agreement with Bank of America, our primary lender. See -</w:t>
      </w:r>
      <w:r>
        <w:rPr>
          <w:rFonts w:ascii="Times New Roman;serif" w:hAnsi="Times New Roman;serif"/>
          <w:b w:val="false"/>
          <w:i/>
          <w:color w:val="000000"/>
          <w:sz w:val="20"/>
        </w:rPr>
        <w:t>"Credit Facilities and Other Financing"</w:t>
      </w:r>
      <w:r>
        <w:rPr>
          <w:color w:val="000000"/>
        </w:rPr>
        <w:t xml:space="preserve"> </w:t>
      </w:r>
      <w:r>
        <w:rPr>
          <w:rFonts w:ascii="Times New Roman;serif" w:hAnsi="Times New Roman;serif"/>
          <w:b w:val="false"/>
          <w:color w:val="000000"/>
          <w:sz w:val="20"/>
        </w:rPr>
        <w:t xml:space="preserve">below for more information on our Credit Agreement. Under the terms of our Credit Agreement, available cash in our primary operating account sweeps against the outstanding balance every evening. Our cash on hand therefore generally consists of petty cash and other non-operating funds not included in the nightly sweep. Cash on hand includes the cash we keep in short-term investment accounts along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deposits and payments in transit in our operating sweep account. Our cash on hand decreased by ($0.6) million on June 30, 2026 as compared to December 31, 2025.</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regularly monitor our capital requirements and believe our sources of liquidity, including cash flow from operations, existing cash, and borrowing availability under our credit and lease facilities will be sufficient to fund our projected cash requirements and strategic initiatives for the next year. To the extent we experience any potential liquidity or capital shortfalls relating to growth and acquisition, we currently expect to rely on debt financing to meet those shortfalls. We use our equity as a component of consideration in acquisitions. In addition, depending on market conditions, we may opportunistically access the public debts and equity markets.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are actively pursuing acquisitions as part of our strategic growth initiative. At any given time, we are assessing multiple opportunities at varying stages of due diligence. These acquisition opportunities range in size, timing of closing, valuation, and composition of consideration. In connection with acquisitions, we use a combination of cash, bank financing, seller financing, and equity to satisfy the purchase price. Currently, we have several acquisitions under consideration. There can be no assurance that any opportunity in the process of being reviewed will close but we expect over time to utilize a meaningful portion of our current liquidity and capital resources for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ind w:left="0" w:right="0" w:firstLine="468"/>
        <w:jc w:val="left"/>
        <w:rPr/>
      </w:pPr>
      <w:r>
        <w:rPr>
          <w:rFonts w:ascii="Times New Roman;serif" w:hAnsi="Times New Roman;serif"/>
          <w:b w:val="false"/>
          <w:color w:val="000000"/>
          <w:sz w:val="20"/>
        </w:rPr>
        <w:t>The following table summarizes our cash flows for the periods presented:</w:t>
      </w:r>
      <w:r>
        <w:rPr>
          <w:color w:val="000000"/>
        </w:rPr>
        <w:t xml:space="preserve"> </w:t>
      </w:r>
    </w:p>
    <w:tbl>
      <w:tblPr>
        <w:tblW w:w="8859" w:type="dxa"/>
        <w:jc w:val="center"/>
        <w:tblInd w:w="0" w:type="dxa"/>
        <w:tblLayout w:type="fixed"/>
        <w:tblCellMar>
          <w:top w:w="28" w:type="dxa"/>
          <w:left w:w="28" w:type="dxa"/>
          <w:bottom w:w="28" w:type="dxa"/>
          <w:right w:w="28" w:type="dxa"/>
        </w:tblCellMar>
      </w:tblPr>
      <w:tblGrid>
        <w:gridCol w:w="2166"/>
        <w:gridCol w:w="1904"/>
        <w:gridCol w:w="1914"/>
        <w:gridCol w:w="258"/>
        <w:gridCol w:w="755"/>
        <w:gridCol w:w="133"/>
        <w:gridCol w:w="133"/>
        <w:gridCol w:w="133"/>
        <w:gridCol w:w="133"/>
        <w:gridCol w:w="258"/>
        <w:gridCol w:w="884"/>
        <w:gridCol w:w="188"/>
      </w:tblGrid>
      <w:tr>
        <w:trPr/>
        <w:tc>
          <w:tcPr>
            <w:tcW w:w="2166"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5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Condensed Consolidated Statements of Cash Flows (amounts in thousands)</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9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3,705 </w:t>
            </w:r>
          </w:p>
        </w:tc>
        <w:tc>
          <w:tcPr>
            <w:tcW w:w="13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16,293 </w:t>
            </w:r>
          </w:p>
        </w:tc>
        <w:tc>
          <w:tcPr>
            <w:tcW w:w="18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1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(10,058)</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(1,837)</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1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5,773 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(5,614)</w:t>
            </w:r>
          </w:p>
        </w:tc>
        <w:tc>
          <w:tcPr>
            <w:tcW w:w="188"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w:t>
            </w:r>
          </w:p>
        </w:tc>
        <w:tc>
          <w:tcPr>
            <w:tcW w:w="101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8,842 </w:t>
            </w:r>
          </w:p>
        </w:tc>
        <w:tc>
          <w:tcPr>
            <w:tcW w:w="18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1013"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10,486 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15,540 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468"/>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operating activities was $3.7 million, which primarily consisted of ($1.2) million net loss, adjusted for stock-based compensation expense of $9.6 million, depreciation and amortization expense of $16.2 million, and a net cash outflow of ($21.3) million from changes in operating assets and liabilities. The net outflow from changes in operating assets and liabilities was primarily due to a $0.8 million decrease in accounts payable and accrued expenses, a $10.3 million increase in accounts receivable resulting from a combination of acquired accounts receivable from acquisitions and increased billing to our customers, and a $10.4 million increase in contract assets and liabilities, partially offset by a $0.1 million decrease in prepaid expenses and other assets.</w:t>
      </w:r>
    </w:p>
    <w:p>
      <w:pPr>
        <w:pStyle w:val="TextBody"/>
        <w:bidi w:val="0"/>
        <w:spacing w:before="0" w:after="0"/>
        <w:ind w:left="0" w:right="0" w:firstLine="468"/>
        <w:jc w:val="left"/>
        <w:rPr/>
      </w:pPr>
      <w:r>
        <w:rPr/>
      </w:r>
    </w:p>
    <w:p>
      <w:pPr>
        <w:pStyle w:val="TextBody"/>
        <w:bidi w:val="0"/>
        <w:spacing w:lineRule="auto" w:line="288" w:before="120" w:after="283"/>
        <w:ind w:left="0" w:right="0" w:firstLine="468"/>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by $8.3 million to $10.1 million for the six months ended June 30, 2026 as compared to $1.8 million for the six months ended June 30, 2025.</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 during the six months ended June 30, 2026 was $5.8 million compared to ($5.6) million used in financing activities during the six months ended June 30, 2025, an increase of $11.4 million. The increase in net cash used in financing is primarily attributable to the net proceeds of $40.8 million from borrowing on the Revolving Credit Facility, offset by $7.9 million from payments on finance leases, $12.2 million for repurchase of common stock, $13.3 million used for repayment of notes and $2.3 million used to purchase treasury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Credit Facilities and Other Financing</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As of June 30, 2026, we had $250.0 million of aggregate revolving commitments pursuant to credit agreement originally entered into on May 2, 2024, by the Company and certain of its subsidiaries, as guarantors, with lenders including Bank of America, N.A.as Administrative Agent, Swingline Lender and L/C Issuer, and TD Bank, N.A, as syndication agent (as amended from time to time, the "Credit Agreement"). The Credit Agreement has a maturity date of May 2, 2029.</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On March 12, 2025, we entered into a First Amendment to the Credit Agreement, which increased the maximum aggregate revolving commitments from $100.0 million to $140.0 million.</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On October 30, 2025, we entered into a Second Amendment to the Credit Agreement and Joinder Agreement, which increased the maximum aggregate revolving commitments to $210.0 million and expanded the banking syndicate to include PNC Bank, National Association.</w:t>
      </w:r>
    </w:p>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3, 2026, we entered into a Third Amendment to the Credit Agreement and Joinder Agreement with lenders, Bank of America N.A. as Administrative Agent, the Swingline Lender and L/C Issuer, TD Bank, N.A. and PNC Bank, which increased the maximum aggregate revolving commitments from $210.0 million to $250.0 million.</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Under the terms of the Credit Agreement, available cash in our primary operating account sweeps against the outstanding balance every evening. As of June 30, 2026, the outstanding balance was $136.2 million.</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Credit Agreement is secured by all the assets of the Company and the subsidiary guarantors. Under the Credit Agreement, we are required to comply with certain covenants, including covenants on indebtedness, investments, liens and restricted payments, as well as to maintain certain financial covenants, including a fixed charge coverage ratio and leverage ratio of debt to EBITDA (as defined in the Credit Agreement). At June 30, 2026, we were in compliance with all covenants.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We utilize master lease facilities primarily with Dext Capital (“Dext”) (formerly Honour Capital, LLC) and Enterprise Leasing (“Enterprise”). The Dext lease facility finances our acquisition of IT infrastructure, geospatial and survey equipment, furniture and other long-lived assets. The Enterprise lease facility finances the acquisition of field trucks and other service vehicles. At June 30, 2026, we maintained a fleet of approximately 500 vehicles. All of our leasing facilities allow for both operating and finance leasing. We allocate finance lease payments between amortization and interest. The payment terms on the lease agreements range between 30 and 50 months with payments totaling approximately $1.5 million per month. We utilize a third party valuation specialist to formulate the incremental borrowing rates for the Company, to calculate the present value on new leases. </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regularly evaluate our options with respect to capital and our requirements for operations and growth. We do not limit our consideration to traditional bank financing, but rather include other structured debt and equity as option for additional capital.</w:t>
      </w:r>
    </w:p>
    <w:p>
      <w:pPr>
        <w:pStyle w:val="TextBody"/>
        <w:bidi w:val="0"/>
        <w:spacing w:lineRule="auto" w:line="288" w:before="240" w:after="283"/>
        <w:ind w:left="0" w:right="0" w:firstLine="468"/>
        <w:jc w:val="both"/>
        <w:rPr/>
      </w:pPr>
      <w:r>
        <w:rPr>
          <w:rFonts w:ascii="Times New Roman;serif" w:hAnsi="Times New Roman;serif"/>
          <w:b w:val="false"/>
          <w:color w:val="000000"/>
          <w:sz w:val="20"/>
        </w:rPr>
        <w:t xml:space="preserve">For more information about our credit facility, see Note 11 – </w:t>
      </w:r>
      <w:r>
        <w:rPr>
          <w:rFonts w:ascii="Times New Roman;serif" w:hAnsi="Times New Roman;serif"/>
          <w:b w:val="false"/>
          <w:i/>
          <w:color w:val="000000"/>
          <w:sz w:val="20"/>
        </w:rPr>
        <w:t>Revolving Credit Facilities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We have no material off-balance sheet arrangements, no special purpose entities, and no activities that include non-exchange-traded contracts accounted for at fair value.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use estimates in the determination of certain financial results. Estimates used in financial reporting utilize only information available to us at the time of formulation. These estimates are subject to change as new information becomes available.</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as compared to the critical accounting policies relating to the use of estimates described in our Management’s Discussion and Analysis of Financial Condition and Results of Operations included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We are exposed to certain market risks from transactions that are entered into during the normal course of business. We have not entered into derivative financial instruments for trading purposes. We have no significant market risk exposure to interest rate changes related to the promissory notes issued as partial consideration for acquisitions since these contain fixed interest rates. Our only debt subject to interest rate risk is the Credit Agreement under which rates are tied to Term SOFR (Secured Overnight Financing Rate), plus an applicable rate which varies between 5.93% and 8.05% based on our ratio of Funded Debt to EBITDA (as each is defined in the Credit Agreement). As of June 30, 2026, there was $136.2 million outstanding on the Credit Agreement. A one percentage point change in the assumed interest rate of the Credit Agreement would change our annual interest expense by approximately $1.4 million in 2026.</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Our finance lease obligations with Dext (formerly Honour) and Enterprise were an aggregate of $39.8 million as of June 30, 2026. These finance lease obligations bear interest at a fixed rate. Accordingly, there is no exposure to market risk related to these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Disclosure Controls and Procedures</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on Form 10-Q, our management, with the participation of our Chief Executive Officer and Chief Financial Officer evaluated the effectiveness of the design and operation of our disclosure controls and procedures, as such term is defined in Rules 13a-15(e) and 15d-15(e) under the Securities Exchange Act of 1934, as amended (the “Exchange Act”). Our disclosure controls and procedures are designed to reasonably assure that information required to be disclosed by the Company in reports it files or submits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Based on such evaluation, our Chief Executive Officer and Chief Financial Officer have concluded that, as of the end of the period covered by this Quarterly Report on Form 10-Q, our disclosure controls and procedures were effective at the reasonable assurance level.</w:t>
      </w:r>
    </w:p>
    <w:p>
      <w:pPr>
        <w:pStyle w:val="TextBody"/>
        <w:bidi w:val="0"/>
        <w:spacing w:before="12" w:after="283"/>
        <w:ind w:left="0" w:right="0" w:firstLine="468"/>
        <w:jc w:val="left"/>
        <w:rPr/>
      </w:pPr>
      <w:r>
        <w:rPr/>
      </w:r>
    </w:p>
    <w:p>
      <w:pPr>
        <w:pStyle w:val="TextBody"/>
        <w:bidi w:val="0"/>
        <w:spacing w:lineRule="auto" w:line="288" w:before="12" w:after="283"/>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identified in connection with the evaluation required by Rules 13a-15(e) and 15d-15(e) of the Exchange Act that occurred during the period covered by this Quarterly Report on Form 10-Q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From time to time, we are subject to various legal proceedings that arise in the normal course of our business activities. As of the date of this Quarterly Report on Form 10-Q, we are not party to any litigation, the outcome of which if determined adversely to us, would individually or in the aggregate be reasonably expected to have a material adverse effect on our results of operations or financial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Except as set forth below, there have been no changes to any of the risks that we believe are material to our business, results of operations and financial condition, from the risk factors previously disclosed in our Annual Report on Form 10-K.</w:t>
      </w:r>
    </w:p>
    <w:p>
      <w:pPr>
        <w:pStyle w:val="TextBody"/>
        <w:bidi w:val="0"/>
        <w:spacing w:lineRule="auto" w:line="288" w:before="120" w:after="283"/>
        <w:ind w:left="0" w:right="0" w:firstLine="468"/>
        <w:jc w:val="both"/>
        <w:rPr>
          <w:rFonts w:ascii="Times New Roman;serif" w:hAnsi="Times New Roman;serif"/>
          <w:b/>
          <w:i/>
          <w:color w:val="000000"/>
          <w:sz w:val="20"/>
          <w:u w:val="single"/>
        </w:rPr>
      </w:pPr>
      <w:r>
        <w:rPr>
          <w:rFonts w:ascii="Times New Roman;serif" w:hAnsi="Times New Roman;serif"/>
          <w:b/>
          <w:i/>
          <w:color w:val="000000"/>
          <w:sz w:val="20"/>
          <w:u w:val="single"/>
        </w:rPr>
        <w:t>Risks Related to the Merger</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On August 9, 2026, we entered into the Merger Agreement with Parent and Merger Sub, pursuant to which, on the terms and subject to the satisfaction or waiver of the conditions set forth therein, Merger Sub will be merged with and into the Company, with the Company surviving the Merger as the surviving corporation and a wholly owned subsidiary of Parent. Parent and Merger Sub are affiliates of Bernhard.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The Merger may not be completed on the timeline currently contemplated, or at all, and failure to complete the Merger may result in material adverse consequences to our business and operations and the price of our common stock.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Consummation of the Merger is subject to certain conditions set forth in the Merger Agreement, including (i) the holders of a majority of the outstanding shares of our common stock entitled to vote in accordance with the DGCL to adopt the Merger Agreement shall have affirmatively voted to adopt the Merger Agreement; (ii) the expiration or termination of (a) any applicable waiting period under the Hart-Scott-Rodino Antitrust Improvements Act of 1976, as amended, relating to the Merger and (b) any commitments not to close any of the transactions contemplated by the Merger Agreement entered into by the parties with any governmental authority; (iii) the absence of any law (other than any foreign direct investment law) or order (other than as related to any foreign direct investment law) issued by a governmental authority of competent jurisdiction after the date of the Merger Agreement that prohibits, makes illegal or enjoins the consummation of the Merger; (iv) the accuracy of the parties’ respective representations and warranties contained in the Merger Agreement, subject to specified materiality qualifications; (v) the parties’ performance of their respective pre-closing obligations in the Merger Agreement in all material respects; and (vi) the delivery by each party to the other party of a certificate certifying compliance with the conditions described in clauses (iv) and (v).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There is no assurance that all of the various conditions will be satisfied within the expected timeframe, or at all. We are subject to a number of risks relating to the announcement and pendency of the Merger, including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experience negative publicity, which could have an adverse effect on our ongoing operations including, but not limited to, retaining and attracting employees and maintaining our relationships with existing customers and obtaining potential new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experience an event, change or other circumstances that could give rise to the termination of the Merger Agreement, including in circumstances requiring us to pay a $26,861,672 termination fee or a $13,430,836 termination fee to Bernhard;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trading price of our common stock may experience increased volatility or decrease to the extent that the current market price reflects a market assumption that the Merger will be completed.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If the Merger is not consummated, the risks described above may materialize or be worsened, and they may have a material adverse effect on our business, results of operations, financial condition and the price of our common stock, particularly to the extent that the current market price reflects a market assumption that the Merger will be completed. Furthermore, investor confidence could decline, stockholder litigation could be brought against us, our directors and/or our officers, relationships with existing and prospective customers, service providers, investors, lenders and other business partners may be adversely impacted, we may be unable to attract or retain key personnel, our employees could be distracted and profitability may be adversely impacted due to costs incurred in connection with the pending Merger. We may experience negative reactions from the financial markets, including negative impacts on our stock price, and it is uncertain when, if ever, the price of our common stock would return to the prices at which our common stock traded prior to the failure of the proposed Merger. If the Merger is not consummated, our stockholders will not receive any payment for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shares of our common stock in connection with the Merger. Instead, we will remain a public company, our common stock will continue to be listed and traded on Nasdaq and registered under the Exchange Act, and we will be required to continue to file periodic reports with the SEC.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Even if successfully completed, there are certain risks to our stockholders from the Merger, including: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fact that receipt of the all-cash per share consideration under the Merger Agreement is taxable to stockholders that are treated as U.S. holders for U.S. federal income tax purposes;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fact that, if the Merger is completed, our stockholders will not participate in any future growth potential or benefit from any future increase in the value of the Company.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will be subject to various uncertainties while the Merger is pending that may cause disruption and may make it more difficult to maintain relationships with employees, customers and other third-party business partners.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Our efforts to complete the Merger could cause substantial disruptions in, and create uncertainty surrounding, our business. Uncertainty about the effect of the Merger on employees, customers, suppliers and vendors may have an adverse effect on the business, financial condition and results of operations of the Company. These uncertainties may impair our ability to attract, retain and motivate key personnel pending the consummation of the Merger, as such personnel may experience uncertainty about their future roles following the consummation. Additionally, these uncertainties could cause customers, suppliers, vendors and others who deal with us to defer decisions concerning working with us, seek to change existing business relationships with the Company or fail to extend an existing relationship with us. In addition, competitors may target our existing customers by highlighting potential uncertainties that may result from the Merger. Changes to or termination of existing business relationships could adversely affect our revenue, earnings and financial condition, as well as the market price of our common stock. The adverse effects of the pendency of the Merger could be exacerbated by any delays in completion of the Merger or termination of the Merger Agreement.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While the Merger is pending and the Merger Agreement is in effect, we are subject to restrictions on our business activities.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While the Merger is pending and the Merger Agreement is in effect, we are generally required to conduct our business in the ordinary course of business in all material respects. The Company is also subject to customary operating restrictions during the pendency of the Merger. These include restrictions on certain material actions, including issuing shares, paying dividends, entering into certain material contracts, incurring or assuming material debt, or acquiring another business or entering into a joint venture, in each case, subject to certain exceptions. These restrictions could prevent us from pursuing strategic business opportunities and taking actions with respect to our business that we may consider advantageous and may, as a result, materially and adversely affect our business, results of operations and financial condition. Adverse effects arising from these restrictions during the pendency of the Merger could be exacerbated by any delays in consummation of the Merger or termination of the Merger Agreement.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The Merger Agreement contains provisions that could discourage a potential competing acquirer of the Company or could result in a competing acquisition proposal being at a lower price than it might otherwise be.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The Merger Agreement contains provisions that may discourage third parties from submitting acquisition proposals to the Company, even if such third party were prepared to pay consideration with a higher value than the value of the consideration in the Merger. The Merger Agreement generally prohibits the Company from soliciting any competing acquisition proposal after 5:00 p.m., Eastern Time, on September 13, 2026. In addition, the Merger Agreement requires us to notify Bernhard and provide certain information if we receive certain inquiries related to a competing acquisition proposal, which might deter third parties from proposing alternative acquisition proposals. Although the Merger Agreement permits us to terminate the Merger Agreement in order to enter into an acquisition agreement with respect to a “Superior Proposal” (as defined in the Merger Agreement), we would be required to pay a termination fee of $26,861,672 termination fee or, in certain circumstances related to an “Excluded Party” (as defined in the Merger Agreement) a $13,430,836 termination fee to Bernhard, which might cause a potential competing acquirer to propose to pay a lower price than it might otherwise have proposed to pay. The Merger Agreement also requires us to pay Bernhard a termination fee of $26,861,672 if the Merger Agreement is terminated in certain circumstances and, within 12 months of such termination, we consummate a similar acquisition transaction or enter into a definitive agreement for a similar acquisition transaction which is later consummated, which might cause a potential acquirer to propose to pay a lower price than it might otherwise have proposed to pay.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the Merger Agreement is terminated, we may, under certain circumstances, be obligated to pay a termination fee to Bernhard. These costs could require us to use available cash that would have otherwise been available for other uses.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If the Merger is not completed, in certain circumstances, we could be required to pay a termination fee of $26,861,672 or, in certain circumstances related to an “Excluded Party” (as defined in the Merger Agreement) a $13,430,836 termination fee to Bernhard. If the Merger Agreement is terminated under such circumstances, the termination fee we may be required to pay under the Merger Agreement may require us to use available cash that would have otherwise been available for general corporate purposes or other uses. For these and other reasons, termination of the Merger Agreement could materially and adversely affect our business, results of operations or financial condition, which in turn would materially and adversely affect the price of our common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We have incurred, and will continue to incur, direct and indirect costs as a result of the Merger.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and will continue to incur, significant costs and expenses, including regulatory costs, fees for professional services and other transaction costs in connection with the Merger, for which we will have received little or no benefit if the Merger is not completed. There are a number of factors beyond our control that could affect the total amount or the timing of these costs and expenses. Many of these fees and costs will be payable by us regardless of whether or not the pending Merger is consummated and may relate to activities that we would not have undertaken other than to complete the Merger.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Litigation challenging the Merger Agreement may prevent the Merger from being consummated within the expected timeframe or at all.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 xml:space="preserve">Lawsuits may be filed against us, our board of directors or other parties to the Merger Agreement challenging the Merger Agreement or the Merger or making other claims in connection therewith. Such lawsuits may be brought by our purported stockholders and may seek, among other things, to enjoin consummation of the Merger. One of the conditions to the consummation of the Merger is the absence of any law or order issued by a governmental authority of competent jurisdiction that prohibits, makes illegal or enjoins the consummation of the Merger. As such, if the plaintiffs in such potential lawsuits are successful in obtaining an injunction prohibiting the defendants from completing the Merger on the agreed upon terms, then such injunction may prevent the Merger from becoming effective, or from becoming effective within the expected timeframe.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If the Merger is completed, our stockholders will forgo the opportunity to benefit from potential future appreciation in the value of the Company. </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The Merger Agreement provides that, at the effective time of the Merger, each share of our common stock (other than Dissenting Company Shares and shares of our common stock held in our treasury) will be automatically converted into the right to receive cash in an amount equal to the Per Share Price ($43.00), without interest. If the Merger is consummated, our stockholders will no longer hold interests in the Company and, therefore, will not be entitled to benefit from any potential future appreciation in the value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lineRule="auto" w:line="288" w:before="12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Issuer Purchase of Equity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purchases of our common stock made by us during the three months ended June 30, 2026:</w:t>
      </w:r>
    </w:p>
    <w:tbl>
      <w:tblPr>
        <w:tblW w:w="10106" w:type="dxa"/>
        <w:jc w:val="center"/>
        <w:tblInd w:w="0" w:type="dxa"/>
        <w:tblLayout w:type="fixed"/>
        <w:tblCellMar>
          <w:top w:w="28" w:type="dxa"/>
          <w:left w:w="28" w:type="dxa"/>
          <w:bottom w:w="28" w:type="dxa"/>
          <w:right w:w="28" w:type="dxa"/>
        </w:tblCellMar>
      </w:tblPr>
      <w:tblGrid>
        <w:gridCol w:w="456"/>
        <w:gridCol w:w="401"/>
        <w:gridCol w:w="403"/>
        <w:gridCol w:w="109"/>
        <w:gridCol w:w="109"/>
        <w:gridCol w:w="109"/>
        <w:gridCol w:w="399"/>
        <w:gridCol w:w="399"/>
        <w:gridCol w:w="401"/>
        <w:gridCol w:w="109"/>
        <w:gridCol w:w="109"/>
        <w:gridCol w:w="109"/>
        <w:gridCol w:w="384"/>
        <w:gridCol w:w="384"/>
        <w:gridCol w:w="386"/>
        <w:gridCol w:w="109"/>
        <w:gridCol w:w="109"/>
        <w:gridCol w:w="109"/>
        <w:gridCol w:w="824"/>
        <w:gridCol w:w="824"/>
        <w:gridCol w:w="826"/>
        <w:gridCol w:w="109"/>
        <w:gridCol w:w="109"/>
        <w:gridCol w:w="109"/>
        <w:gridCol w:w="779"/>
        <w:gridCol w:w="779"/>
        <w:gridCol w:w="781"/>
        <w:gridCol w:w="109"/>
        <w:gridCol w:w="109"/>
        <w:gridCol w:w="154"/>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w:t>
              <w:br/>
              <w:t>of Shares</w:t>
              <w:br/>
              <w:t>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w:t>
              <w:br/>
              <w:t>Paid Per</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w:t>
              <w:br/>
              <w:t>Purchased as Part of Publicly</w:t>
              <w:br/>
              <w:t>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Approximate Dollar Value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 that May Yet Be</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Purchased Under the Plans</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 Programs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4/1/26 - 4/30/26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6,425,348 </w:t>
            </w:r>
          </w:p>
        </w:tc>
        <w:tc>
          <w:tcPr>
            <w:tcW w:w="7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5/1/26 - 5/31/26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4,827,525 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6/1/26 - 6/30/26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r>
    </w:tbl>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(1) This column reflects shares owned and tendered by employees to satisfy the required withholding taxes related to share-based payment awards, which are not deducted from shares available to be purchased under publicly announced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before="12" w:after="283"/>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(2) On June 6, 2025, the board of directors authorized a new share repurchase program under which the Company could repurchase up to $25 million of its common stock ("2025 Repurchase Authorization") over a 12-month period beginning on June 9, 2025. The 2025 Repurchase Authorization replaced the Company's prior share repurchase program, which was scheduled to expire on July 31, 2025. The authorization was effective through June 9, 2026. The execution of the repurchase program was intended to be consistent with the Company’s strategic initiatives which prioritize investments in organic and acquisitive growth. The timing and amount of any share repurchases was determined by management at its discretion based on several factors including share price, market conditions and capital allocation priorities. Shares could be repurchased from time to time through open market purchases, in privately negotiated transactions or by other means, including the use of trading plans intended to qualify under Rule 10b5-1 under the Exchange Act, in accordance with applicable securities laws and other restrictions. The share repurchase program does not obligate Bowman to acquire a specific number of shares of common stock and may be suspended, modified, or discontinued at any time without notice. The 2025 Repurchase Authorization expired in accordance with its terms on June 9, 2026, and the board of directors has not authorized a new share repurchase program. Through its expiration, the Company repurchased an aggregate of 654,821 shares of its common stock under the 2025 Repurchase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following officers of the Company each adopted a trading arrangement for the sale of securities of the Company’s common stock (each a 10b5-1 Plan) that is intended to satisfy the affirmative defense condition of the Securities Exchange Act Rule 10b5-1 (c):</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1. On May 11, 2026, Daniel Swayze, the Company’s Chief Operating Officer, adopted a 10b5-1 Plan that provides for the sale of up to 2,574 shares of the Company’s common stock pursuant to the terms of the 10b5-1 Plan from August 2026 through September 2026.</w:t>
      </w:r>
    </w:p>
    <w:p>
      <w:pPr>
        <w:pStyle w:val="TextBody"/>
        <w:bidi w:val="0"/>
        <w:spacing w:lineRule="auto" w:line="288" w:before="240" w:after="283"/>
        <w:ind w:left="0" w:right="0" w:firstLine="468"/>
        <w:jc w:val="both"/>
        <w:rPr>
          <w:rFonts w:ascii="Times New Roman;serif" w:hAnsi="Times New Roman;serif"/>
          <w:b w:val="false"/>
          <w:color w:val="000000"/>
          <w:sz w:val="20"/>
        </w:rPr>
      </w:pPr>
      <w:r>
        <w:rPr>
          <w:rFonts w:ascii="Times New Roman;serif" w:hAnsi="Times New Roman;serif"/>
          <w:b w:val="false"/>
          <w:color w:val="000000"/>
          <w:sz w:val="20"/>
        </w:rPr>
        <w:t>2. On May 18, 2026, Bruce Labovitz, the Company’s Chief Financial Officer, adopted a 10b5-1 Plan that provides for the sale of up to 94,000 shares of the Company’s common stock pursuant to the terms of the 10b5-1 Plan from August 2026 through November 2026. Mr. Labovitz’s prior 10b5-1 Plan expired by its terms in April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274"/>
        <w:gridCol w:w="241"/>
        <w:gridCol w:w="243"/>
        <w:gridCol w:w="109"/>
        <w:gridCol w:w="109"/>
        <w:gridCol w:w="109"/>
        <w:gridCol w:w="2742"/>
        <w:gridCol w:w="2621"/>
        <w:gridCol w:w="3757"/>
      </w:tblGrid>
      <w:tr>
        <w:trPr/>
        <w:tc>
          <w:tcPr>
            <w:tcW w:w="27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Exhibit</w:t>
            </w:r>
          </w:p>
          <w:p>
            <w:pPr>
              <w:pStyle w:val="TableContents"/>
              <w:bidi w:val="0"/>
              <w:spacing w:lineRule="auto" w:line="276" w:before="15" w:after="283"/>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5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Agreement and Plan of Merger, dated as of August 9, 2026, by and among Bowman Consulting Group Ltd., Prive Parent, Inc. and Prive Merger Sub, Inc. (incorporated by reference to Exhibit 2.1 of the Registrant’s Current Report on Form 8-K (File No. 001-40371, filed with the SEC on August 10, 2026).***</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Voting and Support Agreement, dated as of August 9, 2026, by and among Prive Parent, Inc., Gary Bowman and Bowman Family Asset Management, LLC (incorporated by reference to Exhibit 10.1 of the Registrant’s Current Report on Form 8-K (File No. 001-40371, filed with the SEC on August 10, 2026).</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Voting and Support Agreement, dated as of August 9, 2026, by and among Prive Parent, Inc. and Bruce Labovitz (incorporated by reference to Exhibit 10.2 of the Registrant’s Current Report on Form 8-K (File No. 001-40371, filed with the SEC on August 10, 2026).</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Amended and Restated Executive Employment Agreement dated as of April 15, 2026 by and between Bowman Consulting Group Ltd. and Daniel Swayze (incorporated by reference to Exhibit 10.2 of the Registrant's Current Report on Form 10-Q (File No. 001-40371, file with the SEC on May 6, 2026).</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88" w:before="240" w:after="283"/>
              <w:jc w:val="left"/>
              <w:rPr/>
            </w:pPr>
            <w:hyperlink w:anchor="bwmn-20260630xexx311.htm">
              <w:r>
                <w:rPr>
                  <w:rStyle w:val="InternetLink"/>
                  <w:rFonts w:ascii="Times New Roman;serif" w:hAnsi="Times New Roman;serif"/>
                  <w:b w:val="false"/>
                  <w:color w:val="0000EE"/>
                  <w:sz w:val="20"/>
                  <w:u w:val="single"/>
                </w:rPr>
                <w:t>Certification of Principal Executive Officer Pursuant to Rules 13a-14(a) and 15d-14(a) under the Securities Exchange Act of 1934, as Adopted Pursuant to Section 302 of the Sarbanes-Oxley Act of 2002.</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88" w:before="240" w:after="283"/>
              <w:jc w:val="left"/>
              <w:rPr/>
            </w:pPr>
            <w:hyperlink w:anchor="bwmn-20260630xexx312.htm">
              <w:r>
                <w:rPr>
                  <w:rStyle w:val="InternetLink"/>
                  <w:rFonts w:ascii="Times New Roman;serif" w:hAnsi="Times New Roman;serif"/>
                  <w:b w:val="false"/>
                  <w:color w:val="0000EE"/>
                  <w:sz w:val="20"/>
                  <w:u w:val="single"/>
                </w:rPr>
                <w:t>Certification of Principal Financial Officer Pursuant to Rules 13a-14(a) and 15d-14(a) under the Securities Exchange Act of 1934, as Adopted Pursuant to Section 302 of the Sarbanes-Oxley Act of 2002.</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88" w:before="240" w:after="283"/>
              <w:jc w:val="left"/>
              <w:rPr/>
            </w:pPr>
            <w:hyperlink w:anchor="bwmn-20260630xexx321.htm">
              <w:r>
                <w:rPr>
                  <w:rStyle w:val="InternetLink"/>
                  <w:rFonts w:ascii="Times New Roman;serif" w:hAnsi="Times New Roman;serif"/>
                  <w:b w:val="false"/>
                  <w:color w:val="0000EE"/>
                  <w:sz w:val="20"/>
                  <w:u w:val="single"/>
                </w:rPr>
                <w:t>Certification of Principal Executive Officer Pursuant to 18 U.S.C. Section 1350, as Adopted Pursuant to Section 906 of the Sarbanes-Oxley Act of 2002.</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88" w:before="240" w:after="283"/>
              <w:jc w:val="left"/>
              <w:rPr/>
            </w:pPr>
            <w:hyperlink w:anchor="bwmn-20260630xexx322.htm">
              <w:r>
                <w:rPr>
                  <w:rStyle w:val="InternetLink"/>
                  <w:rFonts w:ascii="Times New Roman;serif" w:hAnsi="Times New Roman;serif"/>
                  <w:b w:val="false"/>
                  <w:color w:val="0000EE"/>
                  <w:sz w:val="20"/>
                  <w:u w:val="single"/>
                </w:rPr>
                <w:t>Certification of Principal Financial Officer Pursuant to 18 U.S.C. Section 1350, as Adopted Pursuant to Section 906 of the Sarbanes-Oxley Act of 2002.</w:t>
              </w:r>
            </w:hyperlink>
          </w:p>
        </w:tc>
      </w:tr>
      <w:tr>
        <w:trPr/>
        <w:tc>
          <w:tcPr>
            <w:tcW w:w="7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XBRL.</w:t>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before="0" w:after="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*Filed herewith.</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This certificate is being furnished solely to accompany the report pursuant to 18 U.S.C. 1350 and is not being “filed” for purposes of Section 18 of the Securities and Exchange Act of 1934.</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Certain schedules and exhibits have been omitted pursuant to Item 601(a)(5) of Regulation S-K. The Company will supplementally furnish copies of omitted schedules and exhibits to the Securities and Exchange Commission or its staff upon its request.</w:t>
      </w:r>
    </w:p>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e2575bd3a904a6aa540b77a5858bae0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468"/>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66" w:type="dxa"/>
        <w:jc w:val="left"/>
        <w:tblInd w:w="0" w:type="dxa"/>
        <w:tblLayout w:type="fixed"/>
        <w:tblCellMar>
          <w:top w:w="28" w:type="dxa"/>
          <w:left w:w="28" w:type="dxa"/>
          <w:bottom w:w="28" w:type="dxa"/>
          <w:right w:w="28" w:type="dxa"/>
        </w:tblCellMar>
      </w:tblPr>
      <w:tblGrid>
        <w:gridCol w:w="705"/>
        <w:gridCol w:w="617"/>
        <w:gridCol w:w="627"/>
        <w:gridCol w:w="566"/>
        <w:gridCol w:w="566"/>
        <w:gridCol w:w="566"/>
        <w:gridCol w:w="733"/>
        <w:gridCol w:w="733"/>
        <w:gridCol w:w="1053"/>
      </w:tblGrid>
      <w:tr>
        <w:trPr/>
        <w:tc>
          <w:tcPr>
            <w:tcW w:w="70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BOWMAN CONSULTING GROUP LTD.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6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Gary Bowman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Gary Bowman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76" w:before="15"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6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Bruce Labovitz</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Bruce Labovitz</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6" w:before="15"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Chief Financial Officer</w:t>
            </w:r>
          </w:p>
          <w:p>
            <w:pPr>
              <w:pStyle w:val="TableContents"/>
              <w:bidi w:val="0"/>
              <w:spacing w:lineRule="auto" w:line="276" w:before="15"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Gary Bowman,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Bowman Consulting Group Ltd.;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74" w:type="dxa"/>
        <w:jc w:val="left"/>
        <w:tblInd w:w="0" w:type="dxa"/>
        <w:tblLayout w:type="fixed"/>
        <w:tblCellMar>
          <w:top w:w="28" w:type="dxa"/>
          <w:left w:w="28" w:type="dxa"/>
          <w:bottom w:w="28" w:type="dxa"/>
          <w:right w:w="28" w:type="dxa"/>
        </w:tblCellMar>
      </w:tblPr>
      <w:tblGrid>
        <w:gridCol w:w="705"/>
        <w:gridCol w:w="621"/>
        <w:gridCol w:w="624"/>
        <w:gridCol w:w="768"/>
        <w:gridCol w:w="768"/>
        <w:gridCol w:w="108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 /s/ Gary Bowman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Gary Bowman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color w:val="000000"/>
              </w:rPr>
              <w:t> </w:t>
            </w:r>
            <w:r>
              <w:rPr>
                <w:rFonts w:ascii="Times New Roman;serif" w:hAnsi="Times New Roman;serif"/>
                <w:b w:val="false"/>
                <w:i/>
                <w:color w:val="000000"/>
                <w:sz w:val="20"/>
              </w:rPr>
              <w:t>(Principal Executive Officer)</w:t>
            </w:r>
            <w:r>
              <w:rPr>
                <w:color w:val="000000"/>
              </w:rPr>
              <w:t xml:space="preserve">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Bruce Labovitz,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Bowman Consulting Group Ltd.;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530" w:type="dxa"/>
        <w:jc w:val="left"/>
        <w:tblInd w:w="0" w:type="dxa"/>
        <w:tblLayout w:type="fixed"/>
        <w:tblCellMar>
          <w:top w:w="28" w:type="dxa"/>
          <w:left w:w="28" w:type="dxa"/>
          <w:bottom w:w="28" w:type="dxa"/>
          <w:right w:w="28" w:type="dxa"/>
        </w:tblCellMar>
      </w:tblPr>
      <w:tblGrid>
        <w:gridCol w:w="705"/>
        <w:gridCol w:w="621"/>
        <w:gridCol w:w="624"/>
        <w:gridCol w:w="754"/>
        <w:gridCol w:w="754"/>
        <w:gridCol w:w="1072"/>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25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 /s/ Bruce Labovitz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Bruce Labovitz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i/>
                <w:color w:val="000000"/>
                <w:sz w:val="20"/>
              </w:rPr>
              <w:t>(Principal Financial Officer)</w:t>
            </w:r>
            <w:r>
              <w:rPr>
                <w:color w:val="000000"/>
              </w:rPr>
              <w:t xml:space="preserve">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18 U.S.C. SECTION 1350, AS ADOPTED PURSUANT TO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Bowman Consulting Group Ltd. (the “Company”) on Form 10-Q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4454" w:type="dxa"/>
        <w:jc w:val="left"/>
        <w:tblInd w:w="0" w:type="dxa"/>
        <w:tblLayout w:type="fixed"/>
        <w:tblCellMar>
          <w:top w:w="28" w:type="dxa"/>
          <w:left w:w="28" w:type="dxa"/>
          <w:bottom w:w="28" w:type="dxa"/>
          <w:right w:w="28" w:type="dxa"/>
        </w:tblCellMar>
      </w:tblPr>
      <w:tblGrid>
        <w:gridCol w:w="705"/>
        <w:gridCol w:w="621"/>
        <w:gridCol w:w="624"/>
        <w:gridCol w:w="733"/>
        <w:gridCol w:w="733"/>
        <w:gridCol w:w="103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 /s/ Gary Bowman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Gary Bowman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right"/>
        <w:rPr>
          <w:rFonts w:ascii="Times New Roman;serif" w:hAnsi="Times New Roman;serif"/>
          <w:b/>
          <w:color w:val="000000"/>
          <w:sz w:val="18"/>
        </w:rPr>
      </w:pPr>
      <w:r>
        <w:rPr>
          <w:rFonts w:ascii="Times New Roman;serif" w:hAnsi="Times New Roman;serif"/>
          <w:b/>
          <w:color w:val="000000"/>
          <w:sz w:val="18"/>
        </w:rPr>
        <w:t>Exhibit 32.2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CERTIFICATION PURSUANT TO</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18 U.S.C. SECTION 1350, AS ADOPTED PURSUANT TO </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906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Bowman Consulting Group Ltd. (the “Company”) on Form 10-Q for the period ended June 30, 2026, as filed with the Securities and Exchange Commission on the date hereof (the “Report”), I certify, pursuant to 18 U.S.C. § 1350, as adopted pursuant to § 906 of the Sarbanes-Oxley Act of 2002, that to the best of my knowledge:</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4469" w:type="dxa"/>
        <w:jc w:val="left"/>
        <w:tblInd w:w="0" w:type="dxa"/>
        <w:tblLayout w:type="fixed"/>
        <w:tblCellMar>
          <w:top w:w="28" w:type="dxa"/>
          <w:left w:w="28" w:type="dxa"/>
          <w:bottom w:w="28" w:type="dxa"/>
          <w:right w:w="28" w:type="dxa"/>
        </w:tblCellMar>
      </w:tblPr>
      <w:tblGrid>
        <w:gridCol w:w="705"/>
        <w:gridCol w:w="621"/>
        <w:gridCol w:w="624"/>
        <w:gridCol w:w="736"/>
        <w:gridCol w:w="736"/>
        <w:gridCol w:w="104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 /s/ Bruce Labovitz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Bruce Labovitz</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7590/000119312526341431/d69901dex21.htm" TargetMode="External"/><Relationship Id="rId3" Type="http://schemas.openxmlformats.org/officeDocument/2006/relationships/hyperlink" Target="https://www.sec.gov/Archives/edgar/data/1847590/000119312526341431/d69901dex101.htm" TargetMode="External"/><Relationship Id="rId4" Type="http://schemas.openxmlformats.org/officeDocument/2006/relationships/hyperlink" Target="https://www.sec.gov/Archives/edgar/data/1847590/000119312526341431/d69901dex102.htm" TargetMode="External"/><Relationship Id="rId5" Type="http://schemas.openxmlformats.org/officeDocument/2006/relationships/hyperlink" Target="https://www.sec.gov/Archives/edgar/data/1847590/000162828026031344/exhibit-102dswayzeamendeda.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29211</Words>
  <Characters>162616</Characters>
  <CharactersWithSpaces>190040</CharactersWithSpaces>
  <Paragraphs>3265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