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395121.xml.htm"/>
      <w:bookmarkStart w:id="1" w:name="kswkform4_178639512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Swayze Daniel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12355 SUNRISE VALLEY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22066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Bowman Consulting Group Ltd.</w:t>
              </w:r>
            </w:hyperlink>
            <w:r>
              <w:rPr/>
              <w:t xml:space="preserve"> [ </w:t>
            </w:r>
            <w:r>
              <w:rPr>
                <w:rFonts w:ascii="Times;serif" w:hAnsi="Times;serif"/>
                <w:color w:val="0000FF"/>
                <w:sz w:val="24"/>
                <w:shd w:fill="FFFFFF" w:val="clear"/>
              </w:rPr>
              <w:t>BWMN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Operating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12"/>
        <w:gridCol w:w="461"/>
        <w:gridCol w:w="759"/>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08/07/2026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914</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27.24</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26,363</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Reflects shares sold under a Rule 10b5-1 Plan adopted on May 11, 2026. The Plan provides for the sale of up to 2,574 shares of the Company's common stock pursuant to the terms of the Plan from August 2026 through September 2026.</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Swayze by Robert Hickey with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30298" TargetMode="External"/><Relationship Id="rId5" Type="http://schemas.openxmlformats.org/officeDocument/2006/relationships/hyperlink" Target="http://www.sec.gov/cgi-bin/browse-edgar?action=getcompany&amp;CIK=000184759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615</Words>
  <Characters>3300</Characters>
  <CharactersWithSpaces>3846</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