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756_defa14a.htm"/>
      <w:bookmarkStart w:id="1" w:name="ksef20083756_defa14a"/>
      <w:bookmarkStart w:id="2" w:name="ef20083756_defa14a.htm"/>
      <w:bookmarkStart w:id="3" w:name="ksef20083756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252f277855874b19b7b21f39493d5057"/>
      <w:bookmarkStart w:id="5" w:name="z252f277855874b19b7b21f39493d5057"/>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8f9e19a9d5094fcbb613f75b3bd44094"/>
      <w:bookmarkStart w:id="7" w:name="z8f9e19a9d5094fcbb613f75b3bd44094"/>
      <w:bookmarkEnd w:id="7"/>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24cf999c6fa94754aa2ed6adbdf51c60"/>
      <w:bookmarkStart w:id="9" w:name="z24cf999c6fa94754aa2ed6adbdf51c60"/>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bf62e301f7354cc8970d267cdcd84a0c"/>
      <w:bookmarkStart w:id="11" w:name="zbf62e301f7354cc8970d267cdcd84a0c"/>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1238ffbec3bd428b80dc02d0a1399736"/>
      <w:bookmarkStart w:id="13" w:name="z1238ffbec3bd428b80dc02d0a1399736"/>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BOWMAN CONSULTING GROUP LTD.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427070589574462a8087f103ce6e8731"/>
      <w:bookmarkStart w:id="15" w:name="z427070589574462a8087f103ce6e8731"/>
      <w:bookmarkEnd w:id="15"/>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e94adfe24fed4e59a3caba7946657cb7"/>
      <w:bookmarkStart w:id="17" w:name="ze94adfe24fed4e59a3caba7946657cb7"/>
      <w:bookmarkEnd w:id="17"/>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8fa0a460444c4b6c81ccc05a818432c7"/>
      <w:bookmarkStart w:id="19" w:name="z8fa0a460444c4b6c81ccc05a818432c7"/>
      <w:bookmarkEnd w:id="19"/>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Employee FAQ</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FAQ was sent to employees of Bowman Consulting Group Ltd. on October 14,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4800da158bff443194fdb22b11e7892c"/>
      <w:bookmarkStart w:id="21" w:name="z4800da158bff443194fdb22b11e7892c"/>
      <w:bookmarkEnd w:id="21"/>
    </w:p>
    <w:tbl>
      <w:tblPr>
        <w:tblW w:w="8200" w:type="dxa"/>
        <w:jc w:val="left"/>
        <w:tblInd w:w="0" w:type="dxa"/>
        <w:tblLayout w:type="fixed"/>
        <w:tblCellMar>
          <w:top w:w="0" w:type="dxa"/>
          <w:left w:w="0" w:type="dxa"/>
          <w:bottom w:w="0" w:type="dxa"/>
          <w:right w:w="0" w:type="dxa"/>
        </w:tblCellMar>
      </w:tblPr>
      <w:tblGrid>
        <w:gridCol w:w="215"/>
        <w:gridCol w:w="7985"/>
      </w:tblGrid>
      <w:tr>
        <w:trPr/>
        <w:tc>
          <w:tcPr>
            <w:tcW w:w="215" w:type="dxa"/>
            <w:tcBorders/>
            <w:vAlign w:val="center"/>
          </w:tcPr>
          <w:p>
            <w:pPr>
              <w:pStyle w:val="TableContents"/>
              <w:bidi w:val="0"/>
              <w:spacing w:before="0" w:after="283"/>
              <w:jc w:val="left"/>
              <w:rPr>
                <w:b/>
              </w:rPr>
            </w:pPr>
            <w:r>
              <w:rPr>
                <w:b/>
              </w:rPr>
              <w:t>1.</w:t>
            </w:r>
          </w:p>
        </w:tc>
        <w:tc>
          <w:tcPr>
            <w:tcW w:w="7985" w:type="dxa"/>
            <w:tcBorders/>
            <w:vAlign w:val="center"/>
          </w:tcPr>
          <w:p>
            <w:pPr>
              <w:pStyle w:val="TableContents"/>
              <w:bidi w:val="0"/>
              <w:spacing w:before="0" w:after="0"/>
              <w:jc w:val="left"/>
              <w:rPr>
                <w:b/>
              </w:rPr>
            </w:pPr>
            <w:r>
              <w:rPr>
                <w:b/>
              </w:rPr>
              <w:t>What was filed in connection with the Bernhard Capital Partners transaction?</w:t>
            </w:r>
          </w:p>
        </w:tc>
      </w:tr>
    </w:tbl>
    <w:p>
      <w:pPr>
        <w:pStyle w:val="Normal"/>
        <w:bidi w:val="0"/>
        <w:spacing w:before="0" w:after="0"/>
        <w:jc w:val="left"/>
        <w:rPr>
          <w:sz w:val="4"/>
          <w:szCs w:val="4"/>
        </w:rPr>
      </w:pPr>
      <w:r>
        <w:rPr>
          <w:sz w:val="4"/>
          <w:szCs w:val="4"/>
        </w:rPr>
      </w:r>
      <w:bookmarkStart w:id="22" w:name="z972f5f853d6749539311846ea1c3d0db"/>
      <w:bookmarkStart w:id="23" w:name="z972f5f853d6749539311846ea1c3d0db"/>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Bowman filed its definitive proxy statement with the SEC, marking another important step forward toward completing the transaction.</w:t>
            </w:r>
          </w:p>
        </w:tc>
      </w:tr>
    </w:tbl>
    <w:p>
      <w:pPr>
        <w:pStyle w:val="Normal"/>
        <w:bidi w:val="0"/>
        <w:spacing w:before="0" w:after="0"/>
        <w:jc w:val="left"/>
        <w:rPr>
          <w:sz w:val="4"/>
          <w:szCs w:val="4"/>
        </w:rPr>
      </w:pPr>
      <w:r>
        <w:rPr>
          <w:sz w:val="4"/>
          <w:szCs w:val="4"/>
        </w:rPr>
      </w:r>
      <w:bookmarkStart w:id="24" w:name="z8f6f8962a0d642068846425e5114e725"/>
      <w:bookmarkStart w:id="25" w:name="z8f6f8962a0d642068846425e5114e725"/>
      <w:bookmarkEnd w:id="25"/>
    </w:p>
    <w:tbl>
      <w:tblPr>
        <w:tblW w:w="8973" w:type="dxa"/>
        <w:jc w:val="left"/>
        <w:tblInd w:w="0" w:type="dxa"/>
        <w:tblLayout w:type="fixed"/>
        <w:tblCellMar>
          <w:top w:w="0" w:type="dxa"/>
          <w:left w:w="0" w:type="dxa"/>
          <w:bottom w:w="0" w:type="dxa"/>
          <w:right w:w="0" w:type="dxa"/>
        </w:tblCellMar>
      </w:tblPr>
      <w:tblGrid>
        <w:gridCol w:w="38"/>
        <w:gridCol w:w="110"/>
        <w:gridCol w:w="8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0"/>
              <w:jc w:val="left"/>
              <w:rPr/>
            </w:pPr>
            <w:r>
              <w:rPr/>
              <w:t>The filing provides stockholders with the information they need ahead of the special meeting.</w:t>
            </w:r>
          </w:p>
        </w:tc>
      </w:tr>
    </w:tbl>
    <w:p>
      <w:pPr>
        <w:pStyle w:val="Normal"/>
        <w:bidi w:val="0"/>
        <w:spacing w:before="0" w:after="0"/>
        <w:jc w:val="left"/>
        <w:rPr>
          <w:sz w:val="4"/>
          <w:szCs w:val="4"/>
        </w:rPr>
      </w:pPr>
      <w:r>
        <w:rPr>
          <w:sz w:val="4"/>
          <w:szCs w:val="4"/>
        </w:rPr>
      </w:r>
      <w:bookmarkStart w:id="26" w:name="zffdfc087ac054b28b8dcce8f6097682a"/>
      <w:bookmarkStart w:id="27" w:name="zffdfc087ac054b28b8dcce8f6097682a"/>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continue to expect the transaction to close in the fourth quarter of 2026, subject to stockholder approval and the satisfaction or waiver of the remaining closing conditions.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ee239cc1a8f0478ebeed1ce9c991ad70"/>
      <w:bookmarkStart w:id="29" w:name="zee239cc1a8f0478ebeed1ce9c991ad70"/>
      <w:bookmarkEnd w:id="29"/>
    </w:p>
    <w:tbl>
      <w:tblPr>
        <w:tblW w:w="4300" w:type="dxa"/>
        <w:jc w:val="left"/>
        <w:tblInd w:w="0" w:type="dxa"/>
        <w:tblLayout w:type="fixed"/>
        <w:tblCellMar>
          <w:top w:w="0" w:type="dxa"/>
          <w:left w:w="0" w:type="dxa"/>
          <w:bottom w:w="0" w:type="dxa"/>
          <w:right w:w="0" w:type="dxa"/>
        </w:tblCellMar>
      </w:tblPr>
      <w:tblGrid>
        <w:gridCol w:w="215"/>
        <w:gridCol w:w="4085"/>
      </w:tblGrid>
      <w:tr>
        <w:trPr/>
        <w:tc>
          <w:tcPr>
            <w:tcW w:w="215" w:type="dxa"/>
            <w:tcBorders/>
            <w:vAlign w:val="center"/>
          </w:tcPr>
          <w:p>
            <w:pPr>
              <w:pStyle w:val="TableContents"/>
              <w:bidi w:val="0"/>
              <w:spacing w:before="0" w:after="283"/>
              <w:jc w:val="left"/>
              <w:rPr>
                <w:b/>
              </w:rPr>
            </w:pPr>
            <w:r>
              <w:rPr>
                <w:b/>
              </w:rPr>
              <w:t>2.</w:t>
            </w:r>
          </w:p>
        </w:tc>
        <w:tc>
          <w:tcPr>
            <w:tcW w:w="4085" w:type="dxa"/>
            <w:tcBorders/>
            <w:vAlign w:val="center"/>
          </w:tcPr>
          <w:p>
            <w:pPr>
              <w:pStyle w:val="TableContents"/>
              <w:bidi w:val="0"/>
              <w:spacing w:before="0" w:after="0"/>
              <w:jc w:val="left"/>
              <w:rPr>
                <w:b/>
              </w:rPr>
            </w:pPr>
            <w:r>
              <w:rPr>
                <w:b/>
              </w:rPr>
              <w:t>Where and when is the special meeting?</w:t>
            </w:r>
          </w:p>
        </w:tc>
      </w:tr>
    </w:tbl>
    <w:p>
      <w:pPr>
        <w:pStyle w:val="Normal"/>
        <w:bidi w:val="0"/>
        <w:spacing w:before="0" w:after="0"/>
        <w:jc w:val="left"/>
        <w:rPr>
          <w:sz w:val="4"/>
          <w:szCs w:val="4"/>
        </w:rPr>
      </w:pPr>
      <w:r>
        <w:rPr>
          <w:sz w:val="4"/>
          <w:szCs w:val="4"/>
        </w:rPr>
      </w:r>
      <w:bookmarkStart w:id="30" w:name="ze938e5728bdb4b358bd261615a5fa9bf"/>
      <w:bookmarkStart w:id="31" w:name="ze938e5728bdb4b358bd261615a5fa9bf"/>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will hold the special meeting virtually on November 4, 2026, at 9:30 a.m. Eastern time (login beginning at 9:15 a.m. Eastern time). The special meeting will be conducted virtually via live webcast. You may attend the special meeting online at:</w:t>
            </w:r>
          </w:p>
        </w:tc>
      </w:tr>
    </w:tbl>
    <w:p>
      <w:pPr>
        <w:pStyle w:val="Normal"/>
        <w:bidi w:val="0"/>
        <w:spacing w:before="0" w:after="0"/>
        <w:jc w:val="left"/>
        <w:rPr>
          <w:sz w:val="4"/>
          <w:szCs w:val="4"/>
        </w:rPr>
      </w:pPr>
      <w:r>
        <w:rPr>
          <w:sz w:val="4"/>
          <w:szCs w:val="4"/>
        </w:rPr>
      </w:r>
      <w:bookmarkStart w:id="32" w:name="zef4ad327c66f4688bbcfa04a2066b434"/>
      <w:bookmarkStart w:id="33" w:name="zef4ad327c66f4688bbcfa04a2066b434"/>
      <w:bookmarkEnd w:id="33"/>
    </w:p>
    <w:tbl>
      <w:tblPr>
        <w:tblW w:w="5388" w:type="dxa"/>
        <w:jc w:val="left"/>
        <w:tblInd w:w="0" w:type="dxa"/>
        <w:tblLayout w:type="fixed"/>
        <w:tblCellMar>
          <w:top w:w="0" w:type="dxa"/>
          <w:left w:w="0" w:type="dxa"/>
          <w:bottom w:w="0" w:type="dxa"/>
          <w:right w:w="0" w:type="dxa"/>
        </w:tblCellMar>
      </w:tblPr>
      <w:tblGrid>
        <w:gridCol w:w="38"/>
        <w:gridCol w:w="140"/>
        <w:gridCol w:w="521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5210" w:type="dxa"/>
            <w:tcBorders/>
            <w:vAlign w:val="center"/>
          </w:tcPr>
          <w:p>
            <w:pPr>
              <w:pStyle w:val="TableContents"/>
              <w:bidi w:val="0"/>
              <w:spacing w:before="0" w:after="0"/>
              <w:jc w:val="left"/>
              <w:rPr>
                <w:u w:val="single"/>
              </w:rPr>
            </w:pPr>
            <w:r>
              <w:rPr>
                <w:u w:val="single"/>
              </w:rPr>
              <w:t>www.virtualshareholdermeeting.com/BWMN2026SM</w:t>
            </w:r>
          </w:p>
        </w:tc>
      </w:tr>
    </w:tbl>
    <w:p>
      <w:pPr>
        <w:pStyle w:val="Normal"/>
        <w:bidi w:val="0"/>
        <w:spacing w:before="0" w:after="0"/>
        <w:jc w:val="left"/>
        <w:rPr>
          <w:sz w:val="4"/>
          <w:szCs w:val="4"/>
        </w:rPr>
      </w:pPr>
      <w:r>
        <w:rPr>
          <w:sz w:val="4"/>
          <w:szCs w:val="4"/>
        </w:rPr>
      </w:r>
      <w:bookmarkStart w:id="34" w:name="zed601672673e4e218cf75e4b2e3b5bf6"/>
      <w:bookmarkStart w:id="35" w:name="zed601672673e4e218cf75e4b2e3b5bf6"/>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You do not need to attend the special meeting to vote your shares. Instead, you may simply complete, sign, and return the enclosed proxy card using the postage-prepaid envelope provided, or you may grant a proxy to vote your shares by means of the Internet or by telephone.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a356718ec78d4c3f80ecc149c217186c"/>
      <w:bookmarkStart w:id="37" w:name="za356718ec78d4c3f80ecc149c217186c"/>
      <w:bookmarkEnd w:id="37"/>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b/>
              </w:rPr>
            </w:pPr>
            <w:r>
              <w:rPr>
                <w:b/>
              </w:rPr>
              <w:t>3.</w:t>
            </w:r>
          </w:p>
        </w:tc>
        <w:tc>
          <w:tcPr>
            <w:tcW w:w="2360" w:type="dxa"/>
            <w:tcBorders/>
            <w:vAlign w:val="center"/>
          </w:tcPr>
          <w:p>
            <w:pPr>
              <w:pStyle w:val="TableContents"/>
              <w:bidi w:val="0"/>
              <w:spacing w:before="0" w:after="0"/>
              <w:jc w:val="left"/>
              <w:rPr>
                <w:b/>
              </w:rPr>
            </w:pPr>
            <w:r>
              <w:rPr>
                <w:b/>
              </w:rPr>
              <w:t>Who is eligible to vote?</w:t>
            </w:r>
          </w:p>
        </w:tc>
      </w:tr>
    </w:tbl>
    <w:p>
      <w:pPr>
        <w:pStyle w:val="Normal"/>
        <w:bidi w:val="0"/>
        <w:spacing w:before="0" w:after="0"/>
        <w:jc w:val="left"/>
        <w:rPr>
          <w:sz w:val="4"/>
          <w:szCs w:val="4"/>
        </w:rPr>
      </w:pPr>
      <w:r>
        <w:rPr>
          <w:sz w:val="4"/>
          <w:szCs w:val="4"/>
        </w:rPr>
      </w:r>
      <w:bookmarkStart w:id="38" w:name="ze430237100774885ada86a1d64862340"/>
      <w:bookmarkStart w:id="39" w:name="ze430237100774885ada86a1d64862340"/>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Bowman stockholders as of the close of business on October 1, 2026, the record date for the special meeting, are entitled to vote.</w:t>
            </w:r>
          </w:p>
        </w:tc>
      </w:tr>
    </w:tbl>
    <w:p>
      <w:pPr>
        <w:pStyle w:val="Normal"/>
        <w:bidi w:val="0"/>
        <w:spacing w:before="0" w:after="0"/>
        <w:jc w:val="left"/>
        <w:rPr>
          <w:sz w:val="4"/>
          <w:szCs w:val="4"/>
        </w:rPr>
      </w:pPr>
      <w:r>
        <w:rPr>
          <w:sz w:val="4"/>
          <w:szCs w:val="4"/>
        </w:rPr>
      </w:r>
      <w:bookmarkStart w:id="40" w:name="z62b35d41ac7749a7811d2fc35c6b0be4"/>
      <w:bookmarkStart w:id="41" w:name="z62b35d41ac7749a7811d2fc35c6b0be4"/>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If you have questions about your eligibility to vote or how your shares are held, please contact MacKenzie Partners at 1-800-322-2885 or </w:t>
            </w:r>
            <w:r>
              <w:rPr>
                <w:u w:val="single"/>
              </w:rPr>
              <w:t>proxy@mackenziepartners.com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c408893565f14aa4976db0a94a63c682"/>
      <w:bookmarkStart w:id="43" w:name="zc408893565f14aa4976db0a94a63c682"/>
      <w:bookmarkEnd w:id="43"/>
    </w:p>
    <w:tbl>
      <w:tblPr>
        <w:tblW w:w="3055" w:type="dxa"/>
        <w:jc w:val="left"/>
        <w:tblInd w:w="0" w:type="dxa"/>
        <w:tblLayout w:type="fixed"/>
        <w:tblCellMar>
          <w:top w:w="0" w:type="dxa"/>
          <w:left w:w="0" w:type="dxa"/>
          <w:bottom w:w="0" w:type="dxa"/>
          <w:right w:w="0" w:type="dxa"/>
        </w:tblCellMar>
      </w:tblPr>
      <w:tblGrid>
        <w:gridCol w:w="215"/>
        <w:gridCol w:w="2840"/>
      </w:tblGrid>
      <w:tr>
        <w:trPr/>
        <w:tc>
          <w:tcPr>
            <w:tcW w:w="215" w:type="dxa"/>
            <w:tcBorders/>
            <w:vAlign w:val="center"/>
          </w:tcPr>
          <w:p>
            <w:pPr>
              <w:pStyle w:val="TableContents"/>
              <w:bidi w:val="0"/>
              <w:spacing w:before="0" w:after="283"/>
              <w:jc w:val="left"/>
              <w:rPr>
                <w:b/>
              </w:rPr>
            </w:pPr>
            <w:r>
              <w:rPr>
                <w:b/>
              </w:rPr>
              <w:t>4.</w:t>
            </w:r>
          </w:p>
        </w:tc>
        <w:tc>
          <w:tcPr>
            <w:tcW w:w="2840" w:type="dxa"/>
            <w:tcBorders/>
            <w:vAlign w:val="center"/>
          </w:tcPr>
          <w:p>
            <w:pPr>
              <w:pStyle w:val="TableContents"/>
              <w:bidi w:val="0"/>
              <w:spacing w:before="0" w:after="0"/>
              <w:jc w:val="left"/>
              <w:rPr>
                <w:b/>
              </w:rPr>
            </w:pPr>
            <w:r>
              <w:rPr>
                <w:b/>
              </w:rPr>
              <w:t>How many votes do I have?</w:t>
            </w:r>
          </w:p>
        </w:tc>
      </w:tr>
    </w:tbl>
    <w:p>
      <w:pPr>
        <w:pStyle w:val="Normal"/>
        <w:bidi w:val="0"/>
        <w:spacing w:before="0" w:after="0"/>
        <w:jc w:val="left"/>
        <w:rPr>
          <w:sz w:val="4"/>
          <w:szCs w:val="4"/>
        </w:rPr>
      </w:pPr>
      <w:r>
        <w:rPr>
          <w:sz w:val="4"/>
          <w:szCs w:val="4"/>
        </w:rPr>
      </w:r>
      <w:bookmarkStart w:id="44" w:name="z38228da078954f6eba9146f23bad22ed"/>
      <w:bookmarkStart w:id="45" w:name="z38228da078954f6eba9146f23bad22ed"/>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Each outstanding share of Bowman common stock is entitled to one vote on each matter presented for a vote at the special meeting.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e0ac88405303450490553e19787bbcfb"/>
      <w:bookmarkStart w:id="47" w:name="ze0ac88405303450490553e19787bbcfb"/>
      <w:bookmarkEnd w:id="47"/>
    </w:p>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b/>
              </w:rPr>
            </w:pPr>
            <w:r>
              <w:rPr>
                <w:b/>
              </w:rPr>
              <w:t>5.</w:t>
            </w:r>
          </w:p>
        </w:tc>
        <w:tc>
          <w:tcPr>
            <w:tcW w:w="5885" w:type="dxa"/>
            <w:tcBorders/>
            <w:vAlign w:val="center"/>
          </w:tcPr>
          <w:p>
            <w:pPr>
              <w:pStyle w:val="TableContents"/>
              <w:bidi w:val="0"/>
              <w:spacing w:before="0" w:after="0"/>
              <w:jc w:val="left"/>
              <w:rPr>
                <w:b/>
              </w:rPr>
            </w:pPr>
            <w:r>
              <w:rPr>
                <w:b/>
              </w:rPr>
              <w:t>Does it matter whether my shares are vested or unvested?</w:t>
            </w:r>
          </w:p>
        </w:tc>
      </w:tr>
    </w:tbl>
    <w:p>
      <w:pPr>
        <w:pStyle w:val="Normal"/>
        <w:bidi w:val="0"/>
        <w:spacing w:before="0" w:after="0"/>
        <w:jc w:val="left"/>
        <w:rPr>
          <w:sz w:val="4"/>
          <w:szCs w:val="4"/>
        </w:rPr>
      </w:pPr>
      <w:r>
        <w:rPr>
          <w:sz w:val="4"/>
          <w:szCs w:val="4"/>
        </w:rPr>
      </w:r>
      <w:bookmarkStart w:id="48" w:name="zd628ded406484ff8a5c006aef8c726a9"/>
      <w:bookmarkStart w:id="49" w:name="zd628ded406484ff8a5c006aef8c726a9"/>
      <w:bookmarkEnd w:id="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No. Both vested and unvested Bowman shares held as of October 1, 2026 are eligible to vote at the special meeting.</w:t>
            </w:r>
          </w:p>
        </w:tc>
      </w:tr>
    </w:tbl>
    <w:p>
      <w:pPr>
        <w:pStyle w:val="Normal"/>
        <w:bidi w:val="0"/>
        <w:spacing w:before="0" w:after="0"/>
        <w:jc w:val="left"/>
        <w:rPr>
          <w:sz w:val="4"/>
          <w:szCs w:val="4"/>
        </w:rPr>
      </w:pPr>
      <w:r>
        <w:rPr>
          <w:sz w:val="4"/>
          <w:szCs w:val="4"/>
        </w:rPr>
      </w:r>
      <w:bookmarkStart w:id="50" w:name="z749a34583c5d4e209cef830459318bad"/>
      <w:bookmarkStart w:id="51" w:name="z749a34583c5d4e209cef830459318bad"/>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If you have questions about your specific holdings or the number of shares you are eligible to vote, please contact MacKenzie Partners at 1-800-322-2885 or </w:t>
            </w:r>
            <w:r>
              <w:rPr>
                <w:u w:val="single"/>
              </w:rPr>
              <w:t>proxy@mackenziepartners.com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6a9332dbac9248bdb9b32e36cc55f092"/>
      <w:bookmarkStart w:id="53" w:name="z6a9332dbac9248bdb9b32e36cc55f092"/>
      <w:bookmarkEnd w:id="53"/>
    </w:p>
    <w:tbl>
      <w:tblPr>
        <w:tblW w:w="5620" w:type="dxa"/>
        <w:jc w:val="left"/>
        <w:tblInd w:w="0" w:type="dxa"/>
        <w:tblLayout w:type="fixed"/>
        <w:tblCellMar>
          <w:top w:w="0" w:type="dxa"/>
          <w:left w:w="0" w:type="dxa"/>
          <w:bottom w:w="0" w:type="dxa"/>
          <w:right w:w="0" w:type="dxa"/>
        </w:tblCellMar>
      </w:tblPr>
      <w:tblGrid>
        <w:gridCol w:w="215"/>
        <w:gridCol w:w="5405"/>
      </w:tblGrid>
      <w:tr>
        <w:trPr/>
        <w:tc>
          <w:tcPr>
            <w:tcW w:w="215" w:type="dxa"/>
            <w:tcBorders/>
            <w:vAlign w:val="center"/>
          </w:tcPr>
          <w:p>
            <w:pPr>
              <w:pStyle w:val="TableContents"/>
              <w:bidi w:val="0"/>
              <w:spacing w:before="0" w:after="283"/>
              <w:jc w:val="left"/>
              <w:rPr>
                <w:b/>
              </w:rPr>
            </w:pPr>
            <w:r>
              <w:rPr>
                <w:b/>
              </w:rPr>
              <w:t>6.</w:t>
            </w:r>
          </w:p>
        </w:tc>
        <w:tc>
          <w:tcPr>
            <w:tcW w:w="5405" w:type="dxa"/>
            <w:tcBorders/>
            <w:vAlign w:val="center"/>
          </w:tcPr>
          <w:p>
            <w:pPr>
              <w:pStyle w:val="TableContents"/>
              <w:bidi w:val="0"/>
              <w:spacing w:before="0" w:after="0"/>
              <w:jc w:val="left"/>
              <w:rPr>
                <w:b/>
              </w:rPr>
            </w:pPr>
            <w:r>
              <w:rPr>
                <w:b/>
              </w:rPr>
              <w:t>When should I expect to receive my proxy materials?</w:t>
            </w:r>
          </w:p>
        </w:tc>
      </w:tr>
    </w:tbl>
    <w:p>
      <w:pPr>
        <w:pStyle w:val="Normal"/>
        <w:bidi w:val="0"/>
        <w:spacing w:before="0" w:after="0"/>
        <w:jc w:val="left"/>
        <w:rPr>
          <w:sz w:val="4"/>
          <w:szCs w:val="4"/>
        </w:rPr>
      </w:pPr>
      <w:r>
        <w:rPr>
          <w:sz w:val="4"/>
          <w:szCs w:val="4"/>
        </w:rPr>
      </w:r>
      <w:bookmarkStart w:id="54" w:name="z8e215a8d7c3049de81bb2510fcd7a2b6"/>
      <w:bookmarkStart w:id="55" w:name="z8e215a8d7c3049de81bb2510fcd7a2b6"/>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definitive proxy statement and related proxy materials began being mailed or otherwise provided to stockholders on or about October 5.</w:t>
            </w:r>
          </w:p>
        </w:tc>
      </w:tr>
    </w:tbl>
    <w:p>
      <w:pPr>
        <w:pStyle w:val="Normal"/>
        <w:bidi w:val="0"/>
        <w:spacing w:before="0" w:after="0"/>
        <w:jc w:val="left"/>
        <w:rPr>
          <w:sz w:val="4"/>
          <w:szCs w:val="4"/>
        </w:rPr>
      </w:pPr>
      <w:r>
        <w:rPr>
          <w:sz w:val="4"/>
          <w:szCs w:val="4"/>
        </w:rPr>
      </w:r>
      <w:bookmarkStart w:id="56" w:name="z0fa7fa9c877b424199b5175d52c80e3c"/>
      <w:bookmarkStart w:id="57" w:name="z0fa7fa9c877b424199b5175d52c80e3c"/>
      <w:bookmarkEnd w:id="57"/>
    </w:p>
    <w:tbl>
      <w:tblPr>
        <w:tblW w:w="8613" w:type="dxa"/>
        <w:jc w:val="left"/>
        <w:tblInd w:w="0" w:type="dxa"/>
        <w:tblLayout w:type="fixed"/>
        <w:tblCellMar>
          <w:top w:w="0" w:type="dxa"/>
          <w:left w:w="0" w:type="dxa"/>
          <w:bottom w:w="0" w:type="dxa"/>
          <w:right w:w="0" w:type="dxa"/>
        </w:tblCellMar>
      </w:tblPr>
      <w:tblGrid>
        <w:gridCol w:w="38"/>
        <w:gridCol w:w="110"/>
        <w:gridCol w:w="84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0"/>
              <w:jc w:val="left"/>
              <w:rPr/>
            </w:pPr>
            <w:r>
              <w:rPr/>
              <w:t>Depending on how your shares are held, you may receive materials in the coming weeks.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110716413f6f4b3685459ae3e6a08176"/>
      <w:bookmarkStart w:id="59" w:name="z110716413f6f4b3685459ae3e6a08176"/>
      <w:bookmarkEnd w:id="59"/>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283"/>
              <w:jc w:val="left"/>
              <w:rPr>
                <w:b/>
              </w:rPr>
            </w:pPr>
            <w:r>
              <w:rPr>
                <w:b/>
              </w:rPr>
              <w:t>7.</w:t>
            </w:r>
          </w:p>
        </w:tc>
        <w:tc>
          <w:tcPr>
            <w:tcW w:w="2660" w:type="dxa"/>
            <w:tcBorders/>
            <w:vAlign w:val="center"/>
          </w:tcPr>
          <w:p>
            <w:pPr>
              <w:pStyle w:val="TableContents"/>
              <w:bidi w:val="0"/>
              <w:spacing w:before="0" w:after="0"/>
              <w:jc w:val="left"/>
              <w:rPr>
                <w:b/>
              </w:rPr>
            </w:pPr>
            <w:r>
              <w:rPr>
                <w:b/>
              </w:rPr>
              <w:t>How do I vote my shares?</w:t>
            </w:r>
          </w:p>
        </w:tc>
      </w:tr>
    </w:tbl>
    <w:p>
      <w:pPr>
        <w:pStyle w:val="Normal"/>
        <w:bidi w:val="0"/>
        <w:spacing w:before="0" w:after="0"/>
        <w:jc w:val="left"/>
        <w:rPr>
          <w:sz w:val="4"/>
          <w:szCs w:val="4"/>
        </w:rPr>
      </w:pPr>
      <w:r>
        <w:rPr>
          <w:sz w:val="4"/>
          <w:szCs w:val="4"/>
        </w:rPr>
      </w:r>
      <w:bookmarkStart w:id="60" w:name="z370dbd7112a247ec8411d9a455aa2bf8"/>
      <w:bookmarkStart w:id="61" w:name="z370dbd7112a247ec8411d9a455aa2bf8"/>
      <w:bookmarkEnd w:id="61"/>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left"/>
              <w:rPr/>
            </w:pPr>
            <w:r>
              <w:rPr/>
              <w:t>Please follow the instructions included with your proxy materials.</w:t>
            </w:r>
          </w:p>
        </w:tc>
      </w:tr>
    </w:tbl>
    <w:p>
      <w:pPr>
        <w:pStyle w:val="Normal"/>
        <w:bidi w:val="0"/>
        <w:spacing w:before="0" w:after="0"/>
        <w:jc w:val="left"/>
        <w:rPr>
          <w:sz w:val="4"/>
          <w:szCs w:val="4"/>
        </w:rPr>
      </w:pPr>
      <w:r>
        <w:rPr>
          <w:sz w:val="4"/>
          <w:szCs w:val="4"/>
        </w:rPr>
      </w:r>
      <w:bookmarkStart w:id="62" w:name="z104cca994b9f4a07a8ba3fb0d7b55b07"/>
      <w:bookmarkStart w:id="63" w:name="z104cca994b9f4a07a8ba3fb0d7b55b07"/>
      <w:bookmarkEnd w:id="63"/>
    </w:p>
    <w:tbl>
      <w:tblPr>
        <w:tblW w:w="10158" w:type="dxa"/>
        <w:jc w:val="left"/>
        <w:tblInd w:w="0" w:type="dxa"/>
        <w:tblLayout w:type="fixed"/>
        <w:tblCellMar>
          <w:top w:w="0" w:type="dxa"/>
          <w:left w:w="0" w:type="dxa"/>
          <w:bottom w:w="0" w:type="dxa"/>
          <w:right w:w="0" w:type="dxa"/>
        </w:tblCellMar>
      </w:tblPr>
      <w:tblGrid>
        <w:gridCol w:w="38"/>
        <w:gridCol w:w="110"/>
        <w:gridCol w:w="100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0"/>
              <w:jc w:val="left"/>
              <w:rPr/>
            </w:pPr>
            <w:r>
              <w:rPr/>
              <w:t>Stockholders may generally vote online, by telephone or by mail, depending on how their shares are held.</w:t>
            </w:r>
          </w:p>
        </w:tc>
      </w:tr>
    </w:tbl>
    <w:p>
      <w:pPr>
        <w:pStyle w:val="Normal"/>
        <w:bidi w:val="0"/>
        <w:spacing w:before="0" w:after="0"/>
        <w:jc w:val="left"/>
        <w:rPr>
          <w:sz w:val="4"/>
          <w:szCs w:val="4"/>
        </w:rPr>
      </w:pPr>
      <w:r>
        <w:rPr>
          <w:sz w:val="4"/>
          <w:szCs w:val="4"/>
        </w:rPr>
      </w:r>
      <w:bookmarkStart w:id="64" w:name="z3e860de6f5ec4e3eabdb6760e55e9607"/>
      <w:bookmarkStart w:id="65" w:name="z3e860de6f5ec4e3eabdb6760e55e9607"/>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If your shares are held through a broker, bank or other holder of record, follow the instructions they provide. You can also contact MacKenzie Partners at 1-800-322-2885 or </w:t>
            </w:r>
            <w:r>
              <w:rPr>
                <w:u w:val="single"/>
              </w:rPr>
              <w:t>proxy@mackenziepartners.com</w:t>
            </w:r>
            <w:r>
              <w:rPr/>
              <w:t xml:space="preserve"> with any additional questions you have regarding how to vote.</w:t>
            </w:r>
          </w:p>
        </w:tc>
      </w:tr>
    </w:tbl>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1 of 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Employee FAQ</w:t>
      </w:r>
    </w:p>
    <w:p>
      <w:pPr>
        <w:pStyle w:val="Normal"/>
        <w:bidi w:val="0"/>
        <w:spacing w:before="0" w:after="0"/>
        <w:jc w:val="left"/>
        <w:rPr>
          <w:sz w:val="4"/>
          <w:szCs w:val="4"/>
        </w:rPr>
      </w:pPr>
      <w:r>
        <w:rPr>
          <w:sz w:val="4"/>
          <w:szCs w:val="4"/>
        </w:rPr>
      </w:r>
      <w:bookmarkStart w:id="66" w:name="z512cb90dacab4499bb5b5629d97d39bb"/>
      <w:bookmarkStart w:id="67" w:name="z512cb90dacab4499bb5b5629d97d39bb"/>
      <w:bookmarkEnd w:id="67"/>
    </w:p>
    <w:tbl>
      <w:tblPr>
        <w:tblW w:w="9730" w:type="dxa"/>
        <w:jc w:val="left"/>
        <w:tblInd w:w="0" w:type="dxa"/>
        <w:tblLayout w:type="fixed"/>
        <w:tblCellMar>
          <w:top w:w="0" w:type="dxa"/>
          <w:left w:w="0" w:type="dxa"/>
          <w:bottom w:w="0" w:type="dxa"/>
          <w:right w:w="0" w:type="dxa"/>
        </w:tblCellMar>
      </w:tblPr>
      <w:tblGrid>
        <w:gridCol w:w="215"/>
        <w:gridCol w:w="9515"/>
      </w:tblGrid>
      <w:tr>
        <w:trPr/>
        <w:tc>
          <w:tcPr>
            <w:tcW w:w="215" w:type="dxa"/>
            <w:tcBorders/>
            <w:vAlign w:val="center"/>
          </w:tcPr>
          <w:p>
            <w:pPr>
              <w:pStyle w:val="TableContents"/>
              <w:bidi w:val="0"/>
              <w:spacing w:before="0" w:after="283"/>
              <w:jc w:val="left"/>
              <w:rPr>
                <w:b/>
              </w:rPr>
            </w:pPr>
            <w:r>
              <w:rPr>
                <w:b/>
              </w:rPr>
              <w:t>8.</w:t>
            </w:r>
          </w:p>
        </w:tc>
        <w:tc>
          <w:tcPr>
            <w:tcW w:w="9515" w:type="dxa"/>
            <w:tcBorders/>
            <w:vAlign w:val="center"/>
          </w:tcPr>
          <w:p>
            <w:pPr>
              <w:pStyle w:val="TableContents"/>
              <w:bidi w:val="0"/>
              <w:spacing w:before="0" w:after="0"/>
              <w:jc w:val="left"/>
              <w:rPr>
                <w:b/>
              </w:rPr>
            </w:pPr>
            <w:r>
              <w:rPr>
                <w:b/>
              </w:rPr>
              <w:t>Who should I contact if I have questions about the special meeting, proxy materials or voting?</w:t>
            </w:r>
          </w:p>
        </w:tc>
      </w:tr>
    </w:tbl>
    <w:p>
      <w:pPr>
        <w:pStyle w:val="Normal"/>
        <w:bidi w:val="0"/>
        <w:spacing w:before="0" w:after="0"/>
        <w:jc w:val="left"/>
        <w:rPr>
          <w:sz w:val="4"/>
          <w:szCs w:val="4"/>
        </w:rPr>
      </w:pPr>
      <w:r>
        <w:rPr>
          <w:sz w:val="4"/>
          <w:szCs w:val="4"/>
        </w:rPr>
      </w:r>
      <w:bookmarkStart w:id="68" w:name="ze5b299385bf94d4e90e29222d435a205"/>
      <w:bookmarkStart w:id="69" w:name="ze5b299385bf94d4e90e29222d435a205"/>
      <w:bookmarkEnd w:id="69"/>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left"/>
              <w:rPr/>
            </w:pPr>
            <w:r>
              <w:rPr/>
              <w:t>Please contact Bowman’s proxy solicitor, MacKenzie Partners:</w:t>
            </w:r>
          </w:p>
        </w:tc>
      </w:tr>
    </w:tbl>
    <w:p>
      <w:pPr>
        <w:pStyle w:val="Normal"/>
        <w:bidi w:val="0"/>
        <w:spacing w:before="0" w:after="0"/>
        <w:jc w:val="left"/>
        <w:rPr>
          <w:sz w:val="4"/>
          <w:szCs w:val="4"/>
        </w:rPr>
      </w:pPr>
      <w:r>
        <w:rPr>
          <w:sz w:val="4"/>
          <w:szCs w:val="4"/>
        </w:rPr>
      </w:r>
      <w:bookmarkStart w:id="70" w:name="zf8bde605e01947d59f7ff857423768af"/>
      <w:bookmarkStart w:id="71" w:name="zf8bde605e01947d59f7ff857423768af"/>
      <w:bookmarkEnd w:id="71"/>
    </w:p>
    <w:tbl>
      <w:tblPr>
        <w:tblW w:w="2613" w:type="dxa"/>
        <w:jc w:val="left"/>
        <w:tblInd w:w="0" w:type="dxa"/>
        <w:tblLayout w:type="fixed"/>
        <w:tblCellMar>
          <w:top w:w="0" w:type="dxa"/>
          <w:left w:w="0" w:type="dxa"/>
          <w:bottom w:w="0" w:type="dxa"/>
          <w:right w:w="0" w:type="dxa"/>
        </w:tblCellMar>
      </w:tblPr>
      <w:tblGrid>
        <w:gridCol w:w="38"/>
        <w:gridCol w:w="140"/>
        <w:gridCol w:w="243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2435" w:type="dxa"/>
            <w:tcBorders/>
            <w:vAlign w:val="center"/>
          </w:tcPr>
          <w:p>
            <w:pPr>
              <w:pStyle w:val="TableContents"/>
              <w:bidi w:val="0"/>
              <w:spacing w:before="0" w:after="0"/>
              <w:jc w:val="left"/>
              <w:rPr/>
            </w:pPr>
            <w:r>
              <w:rPr/>
              <w:t>MacKenzie Partners, Inc.</w:t>
            </w:r>
          </w:p>
        </w:tc>
      </w:tr>
    </w:tbl>
    <w:p>
      <w:pPr>
        <w:pStyle w:val="Normal"/>
        <w:bidi w:val="0"/>
        <w:spacing w:before="0" w:after="0"/>
        <w:jc w:val="left"/>
        <w:rPr>
          <w:sz w:val="4"/>
          <w:szCs w:val="4"/>
        </w:rPr>
      </w:pPr>
      <w:r>
        <w:rPr>
          <w:sz w:val="4"/>
          <w:szCs w:val="4"/>
        </w:rPr>
      </w:r>
      <w:bookmarkStart w:id="72" w:name="zc78156756c5448af8523916dba17ff8e"/>
      <w:bookmarkStart w:id="73" w:name="zc78156756c5448af8523916dba17ff8e"/>
      <w:bookmarkEnd w:id="73"/>
    </w:p>
    <w:tbl>
      <w:tblPr>
        <w:tblW w:w="1758" w:type="dxa"/>
        <w:jc w:val="left"/>
        <w:tblInd w:w="0" w:type="dxa"/>
        <w:tblLayout w:type="fixed"/>
        <w:tblCellMar>
          <w:top w:w="0" w:type="dxa"/>
          <w:left w:w="0" w:type="dxa"/>
          <w:bottom w:w="0" w:type="dxa"/>
          <w:right w:w="0" w:type="dxa"/>
        </w:tblCellMar>
      </w:tblPr>
      <w:tblGrid>
        <w:gridCol w:w="38"/>
        <w:gridCol w:w="140"/>
        <w:gridCol w:w="158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580" w:type="dxa"/>
            <w:tcBorders/>
            <w:vAlign w:val="center"/>
          </w:tcPr>
          <w:p>
            <w:pPr>
              <w:pStyle w:val="TableContents"/>
              <w:bidi w:val="0"/>
              <w:spacing w:before="0" w:after="0"/>
              <w:jc w:val="left"/>
              <w:rPr/>
            </w:pPr>
            <w:r>
              <w:rPr/>
              <w:t>1-800-322-2885</w:t>
            </w:r>
          </w:p>
        </w:tc>
      </w:tr>
    </w:tbl>
    <w:p>
      <w:pPr>
        <w:pStyle w:val="Normal"/>
        <w:bidi w:val="0"/>
        <w:spacing w:before="0" w:after="0"/>
        <w:jc w:val="left"/>
        <w:rPr>
          <w:sz w:val="4"/>
          <w:szCs w:val="4"/>
        </w:rPr>
      </w:pPr>
      <w:r>
        <w:rPr>
          <w:sz w:val="4"/>
          <w:szCs w:val="4"/>
        </w:rPr>
      </w:r>
      <w:bookmarkStart w:id="74" w:name="z44a214a16ab240afb453a01eb8a7d9db"/>
      <w:bookmarkStart w:id="75" w:name="z44a214a16ab240afb453a01eb8a7d9db"/>
      <w:bookmarkEnd w:id="75"/>
    </w:p>
    <w:tbl>
      <w:tblPr>
        <w:tblW w:w="3213" w:type="dxa"/>
        <w:jc w:val="left"/>
        <w:tblInd w:w="0" w:type="dxa"/>
        <w:tblLayout w:type="fixed"/>
        <w:tblCellMar>
          <w:top w:w="0" w:type="dxa"/>
          <w:left w:w="0" w:type="dxa"/>
          <w:bottom w:w="0" w:type="dxa"/>
          <w:right w:w="0" w:type="dxa"/>
        </w:tblCellMar>
      </w:tblPr>
      <w:tblGrid>
        <w:gridCol w:w="38"/>
        <w:gridCol w:w="140"/>
        <w:gridCol w:w="303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035" w:type="dxa"/>
            <w:tcBorders/>
            <w:vAlign w:val="center"/>
          </w:tcPr>
          <w:p>
            <w:pPr>
              <w:pStyle w:val="TableContents"/>
              <w:bidi w:val="0"/>
              <w:spacing w:before="0" w:after="0"/>
              <w:jc w:val="left"/>
              <w:rPr>
                <w:u w:val="single"/>
              </w:rPr>
            </w:pPr>
            <w:r>
              <w:rPr>
                <w:u w:val="single"/>
              </w:rPr>
              <w:t>proxy@mackenziepartners.com</w:t>
            </w:r>
          </w:p>
        </w:tc>
      </w:tr>
    </w:tbl>
    <w:p>
      <w:pPr>
        <w:pStyle w:val="Normal"/>
        <w:bidi w:val="0"/>
        <w:spacing w:before="0" w:after="0"/>
        <w:jc w:val="left"/>
        <w:rPr>
          <w:sz w:val="4"/>
          <w:szCs w:val="4"/>
        </w:rPr>
      </w:pPr>
      <w:r>
        <w:rPr>
          <w:sz w:val="4"/>
          <w:szCs w:val="4"/>
        </w:rPr>
      </w:r>
      <w:bookmarkStart w:id="76" w:name="za5f0a0d57b8e44dbb9cdc222a600d5e7"/>
      <w:bookmarkStart w:id="77" w:name="za5f0a0d57b8e44dbb9cdc222a600d5e7"/>
      <w:bookmarkEnd w:id="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MacKenzie Partners can assist with questions regarding the transaction, special meeting, proxy materials and voting process.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transaction described in this communication (the “Merger”) will be submitted to the Company’s stockholders for their consideration and approval at a virtual special meeting of stockholders to be held on November 4, 2026. In connection with the Merger, Bowman Consulting Group Ltd. (the “Company”) filed with the Securities and Exchange Commission (the “SEC”) a definitive proxy statement on Schedule 14A on October 5, 2026 (the “Proxy Statement”). The Proxy Statement and a form of proxy card were mailed or otherwise furnished to the Company’s stockholders on or about October 5, 2026. BEFORE MAKING ANY VOTING DECISION, THE COMPANY’S STOCKHOLDERS ARE URGED TO READ THE PROXY STATEMENT IN ITS ENTIRETY, AND ANY OTHER DOCUMENTS TO BE FILED WITH THE SEC IN CONNECTION WITH THE MERGER OR INCORPORATED BY REFERENCE IN THE PROXY STATEMENT (INCLUDING ANY AMENDMENTS OR SUPPLEMENTS TO THESE DOCUMENTS), IF ANY, BECAUSE THEY CONTAIN OR WILL CONTAIN IMPORTANT INFORMATION ABOUT THE MERGER AND THE PARTIES TO THE MERGER. This communication is not a substitute for the Proxy Statement or any other document that may be filed by the Company with the SEC or sent to its stockholders in connection with the Merger.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investors and stockholders may obtain a free copy of the Proxy Statement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or by contacting the Company’s proxy solicitor, MacKenzie Partners, Inc., by telephone at 1-800-322-2885 or by e-mail to proxy@mackenziepartners.com.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2">
        <w:r>
          <w:rPr>
            <w:rStyle w:val="InternetLink"/>
            <w:rFonts w:ascii="Times New Roman" w:hAnsi="Times New Roman"/>
            <w:color w:val="000000"/>
            <w:sz w:val="20"/>
            <w:u w:val="single"/>
          </w:rPr>
          <w:t>proxy statement on Schedule 14A</w:t>
        </w:r>
      </w:hyperlink>
      <w:r>
        <w:rPr>
          <w:rFonts w:ascii="Times New Roman" w:hAnsi="Times New Roman"/>
          <w:color w:val="000000"/>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is included in the Proxy Statement, including under the heading “</w:t>
      </w:r>
      <w:r>
        <w:rPr>
          <w:rFonts w:ascii="Times New Roman" w:hAnsi="Times New Roman"/>
          <w:i/>
          <w:color w:val="000000"/>
          <w:sz w:val="20"/>
        </w:rPr>
        <w:t>The Merger—Interests of the Company’s Non-Employee Directors and Executive Officers in the Merger</w:t>
      </w:r>
      <w:r>
        <w:rPr>
          <w:rFonts w:ascii="Times New Roman" w:hAnsi="Times New Roman"/>
          <w:color w:val="000000"/>
          <w:sz w:val="20"/>
        </w:rPr>
        <w:t>.” You may obtain free copies of these documents using the sources indicated above.</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2 of 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Employee FAQ</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an affiliate of Bernhard Capital Partners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3 of 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Employee FAQ</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color w:val="000000"/>
          <w:sz w:val="20"/>
          <w:u w:val="single"/>
        </w:rPr>
        <w:t>Form 10-K for the fiscal year ended December 31, 2025</w:t>
      </w:r>
      <w:r>
        <w:rPr>
          <w:rFonts w:ascii="Times New Roman" w:hAnsi="Times New Roman"/>
          <w:color w:val="000000"/>
          <w:sz w:val="20"/>
        </w:rPr>
        <w:t xml:space="preserve">, and the Company’s Quarterly Report on </w:t>
      </w:r>
      <w:r>
        <w:rPr>
          <w:rFonts w:ascii="Times New Roman" w:hAnsi="Times New Roman"/>
          <w:color w:val="000000"/>
          <w:sz w:val="20"/>
          <w:u w:val="single"/>
        </w:rPr>
        <w:t>Form 10-Q for the fiscal quarter ended June 30, 2026</w:t>
      </w:r>
      <w:r>
        <w:rPr>
          <w:rFonts w:ascii="Times New Roman" w:hAnsi="Times New Roman"/>
          <w:color w:val="000000"/>
          <w:sz w:val="20"/>
        </w:rPr>
        <w:t>, each filed with the SEC, the Proxy Statement, including under the caption “Cautionary Statement Regarding Forward-Looking Statements,”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4 of 4</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7590/000119312526186892/d944193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2117</Words>
  <Characters>11672</Characters>
  <CharactersWithSpaces>13702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