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893ddefa14a.htm"/>
      <w:bookmarkStart w:id="1" w:name="ksd17289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September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001-40371</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54-1762351</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12355 Sunrise Valley Drive, Suite 520 </w:t>
      </w:r>
    </w:p>
    <w:p>
      <w:pPr>
        <w:pStyle w:val="TextBody"/>
        <w:bidi w:val="0"/>
        <w:spacing w:before="0" w:after="0"/>
        <w:jc w:val="center"/>
        <w:rPr>
          <w:rFonts w:ascii="Times New Roman" w:hAnsi="Times New Roman"/>
          <w:b/>
          <w:sz w:val="20"/>
        </w:rPr>
      </w:pPr>
      <w:r>
        <w:rPr>
          <w:rFonts w:ascii="Times New Roman" w:hAnsi="Times New Roman"/>
          <w:b/>
          <w:sz w:val="20"/>
        </w:rPr>
        <w:t xml:space="preserve">Reston, Virginia 20191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60" w:after="0"/>
        <w:jc w:val="center"/>
        <w:rPr>
          <w:rFonts w:ascii="Times New Roman" w:hAnsi="Times New Roman"/>
          <w:b/>
          <w:sz w:val="20"/>
        </w:rPr>
      </w:pPr>
      <w:r>
        <w:rPr>
          <w:rFonts w:ascii="Times New Roman" w:hAnsi="Times New Roman"/>
          <w:b/>
          <w:sz w:val="20"/>
        </w:rPr>
        <w:t xml:space="preserve">Registrant’s telephone number, including area code (703) 464-1000 </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6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par value $0.01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BWMN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6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September 14, 2026, Bowman Consulting Group Ltd. (the “</w:t>
      </w:r>
      <w:r>
        <w:rPr>
          <w:rFonts w:ascii="Times New Roman" w:hAnsi="Times New Roman"/>
          <w:sz w:val="20"/>
          <w:u w:val="single"/>
        </w:rPr>
        <w:t>Company</w:t>
      </w:r>
      <w:r>
        <w:rPr>
          <w:rFonts w:ascii="Times New Roman" w:hAnsi="Times New Roman"/>
          <w:sz w:val="20"/>
        </w:rPr>
        <w:t>”) issued a press release, a copy of which is attached as Exhibit 99.1 and incorporated by reference into this Item 8.01, announcing the expiration of the “go shop” period established pursuant to the terms of the previously announced Agreement and Plan of Merger (the “</w:t>
      </w:r>
      <w:r>
        <w:rPr>
          <w:rFonts w:ascii="Times New Roman" w:hAnsi="Times New Roman"/>
          <w:sz w:val="20"/>
          <w:u w:val="single"/>
        </w:rPr>
        <w:t>Merger Agreement</w:t>
      </w:r>
      <w:r>
        <w:rPr>
          <w:rFonts w:ascii="Times New Roman" w:hAnsi="Times New Roman"/>
          <w:sz w:val="20"/>
        </w:rPr>
        <w:t>”), dated as of August 10, 2026, with Prive Parent, Inc., a Delaware corporation (“</w:t>
      </w:r>
      <w:r>
        <w:rPr>
          <w:rFonts w:ascii="Times New Roman" w:hAnsi="Times New Roman"/>
          <w:sz w:val="20"/>
          <w:u w:val="single"/>
        </w:rPr>
        <w:t>Parent</w:t>
      </w:r>
      <w:r>
        <w:rPr>
          <w:rFonts w:ascii="Times New Roman" w:hAnsi="Times New Roman"/>
          <w:sz w:val="20"/>
        </w:rPr>
        <w:t>”), and Prive Merger Sub, Inc., a Delaware corporation and wholly owned subsidiary of Parent (“</w:t>
      </w:r>
      <w:r>
        <w:rPr>
          <w:rFonts w:ascii="Times New Roman" w:hAnsi="Times New Roman"/>
          <w:sz w:val="20"/>
          <w:u w:val="single"/>
        </w:rPr>
        <w:t>Merger Sub</w:t>
      </w:r>
      <w:r>
        <w:rPr>
          <w:rFonts w:ascii="Times New Roman" w:hAnsi="Times New Roman"/>
          <w:sz w:val="20"/>
        </w:rPr>
        <w:t>”, and together with Parent, the “</w:t>
      </w:r>
      <w:r>
        <w:rPr>
          <w:rFonts w:ascii="Times New Roman" w:hAnsi="Times New Roman"/>
          <w:sz w:val="20"/>
          <w:u w:val="single"/>
        </w:rPr>
        <w:t>Buyer Parties</w:t>
      </w:r>
      <w:r>
        <w:rPr>
          <w:rFonts w:ascii="Times New Roman" w:hAnsi="Times New Roman"/>
          <w:sz w:val="20"/>
        </w:rPr>
        <w:t>”), pursuant to which, subject to the satisfaction or waiver of the conditions set forth therein, Merger Sub will merge with and into the Company, with the Company continuing as the surviving corporation (such merger, the “</w:t>
      </w:r>
      <w:r>
        <w:rPr>
          <w:rFonts w:ascii="Times New Roman" w:hAnsi="Times New Roman"/>
          <w:sz w:val="20"/>
          <w:u w:val="single"/>
        </w:rPr>
        <w:t>Merger</w:t>
      </w:r>
      <w:r>
        <w:rPr>
          <w:rFonts w:ascii="Times New Roman" w:hAnsi="Times New Roman"/>
          <w:sz w:val="20"/>
        </w:rPr>
        <w:t>”). The Buyer Parties are affiliated with Bernhard Capital Partners (“</w:t>
      </w:r>
      <w:r>
        <w:rPr>
          <w:rFonts w:ascii="Times New Roman" w:hAnsi="Times New Roman"/>
          <w:sz w:val="20"/>
          <w:u w:val="single"/>
        </w:rPr>
        <w:t>BCP</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4"/>
        <w:gridCol w:w="428"/>
        <w:gridCol w:w="8983"/>
      </w:tblGrid>
      <w:tr>
        <w:trPr/>
        <w:tc>
          <w:tcPr>
            <w:tcW w:w="794"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8983" w:type="dxa"/>
            <w:tcBorders/>
            <w:vAlign w:val="center"/>
          </w:tcPr>
          <w:p>
            <w:pPr>
              <w:pStyle w:val="TableContents"/>
              <w:bidi w:val="0"/>
              <w:spacing w:before="0" w:after="283"/>
              <w:jc w:val="left"/>
              <w:rPr>
                <w:sz w:val="4"/>
                <w:szCs w:val="4"/>
              </w:rPr>
            </w:pPr>
            <w:r>
              <w:rPr>
                <w:sz w:val="4"/>
                <w:szCs w:val="4"/>
              </w:rPr>
            </w:r>
          </w:p>
        </w:tc>
      </w:tr>
      <w:tr>
        <w:trPr/>
        <w:tc>
          <w:tcPr>
            <w:tcW w:w="794" w:type="dxa"/>
            <w:tcBorders/>
            <w:vAlign w:val="bottom"/>
          </w:tcPr>
          <w:p>
            <w:pPr>
              <w:pStyle w:val="TableContents"/>
              <w:bidi w:val="0"/>
              <w:spacing w:before="0" w:after="283"/>
              <w:jc w:val="center"/>
              <w:rPr>
                <w:b/>
              </w:rPr>
            </w:pPr>
            <w:r>
              <w:rPr>
                <w:b/>
              </w:rPr>
              <w:t>Exhibit</w:t>
              <w:br/>
              <w:t>No.</w:t>
            </w:r>
          </w:p>
        </w:tc>
        <w:tc>
          <w:tcPr>
            <w:tcW w:w="428" w:type="dxa"/>
            <w:tcBorders/>
            <w:vAlign w:val="bottom"/>
          </w:tcPr>
          <w:p>
            <w:pPr>
              <w:pStyle w:val="TableContents"/>
              <w:bidi w:val="0"/>
              <w:spacing w:before="0" w:after="283"/>
              <w:jc w:val="left"/>
              <w:rPr/>
            </w:pPr>
            <w:r>
              <w:rPr/>
              <w:t>  </w:t>
            </w:r>
          </w:p>
        </w:tc>
        <w:tc>
          <w:tcPr>
            <w:tcW w:w="8983" w:type="dxa"/>
            <w:tcBorders/>
            <w:vAlign w:val="bottom"/>
          </w:tcPr>
          <w:p>
            <w:pPr>
              <w:pStyle w:val="TableContents"/>
              <w:bidi w:val="0"/>
              <w:spacing w:before="0" w:after="283"/>
              <w:jc w:val="left"/>
              <w:rPr>
                <w:b/>
              </w:rPr>
            </w:pPr>
            <w:r>
              <w:rPr>
                <w:b/>
              </w:rPr>
              <w:t>Description</w:t>
            </w:r>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99.1</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r>
              <w:rPr/>
              <w:t>Press Release issued by Bowman Consulting Group Ltd., dated September 14, 2026</w:t>
            </w:r>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104</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The Merger will be submitted to the Company’s stockholders for their consideration and approval at a special meeting. In connection with the Merger, the Company intends to file with the U.S. Securities and Exchange Commission (the “</w:t>
      </w:r>
      <w:r>
        <w:rPr>
          <w:rFonts w:ascii="Times New Roman" w:hAnsi="Times New Roman"/>
          <w:sz w:val="20"/>
          <w:u w:val="single"/>
        </w:rPr>
        <w:t>SEC</w:t>
      </w:r>
      <w:r>
        <w:rPr>
          <w:rFonts w:ascii="Times New Roman" w:hAnsi="Times New Roman"/>
          <w:sz w:val="20"/>
        </w:rPr>
        <w:t xml:space="preserve">”)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current report on Form 8-K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w:t>
      </w:r>
      <w:r>
        <w:rPr>
          <w:rFonts w:ascii="Times New Roman" w:hAnsi="Times New Roman"/>
          <w:sz w:val="20"/>
          <w:u w:val="single"/>
        </w:rPr>
        <w:t>2026 Annual Meeting Proxy Statement</w:t>
      </w:r>
      <w:r>
        <w:rPr>
          <w:rFonts w:ascii="Times New Roman" w:hAnsi="Times New Roman"/>
          <w:sz w:val="20"/>
        </w:rPr>
        <w:t xml:space="preserve">”),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All statements contained in this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and the Company’s Quarterly Report on Form 10-Q for the fiscal quarter ended June 30, 2026, each filed with the SEC, and other filings with the SEC, which are accessible on the SEC’s website at www.sec.gov and the Company’s Investor Relations page at investors.bowman.com. The forward-looking statements included in this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5"/>
        <w:gridCol w:w="109"/>
        <w:gridCol w:w="393"/>
        <w:gridCol w:w="109"/>
        <w:gridCol w:w="366"/>
        <w:gridCol w:w="109"/>
        <w:gridCol w:w="4634"/>
      </w:tblGrid>
      <w:tr>
        <w:trPr/>
        <w:tc>
          <w:tcPr>
            <w:tcW w:w="448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34"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09" w:type="dxa"/>
            <w:gridSpan w:val="3"/>
            <w:tcBorders/>
            <w:vAlign w:val="bottom"/>
          </w:tcPr>
          <w:p>
            <w:pPr>
              <w:pStyle w:val="TableContents"/>
              <w:bidi w:val="0"/>
              <w:spacing w:before="0" w:after="283"/>
              <w:jc w:val="left"/>
              <w:rPr>
                <w:b/>
              </w:rPr>
            </w:pPr>
            <w:r>
              <w:rPr>
                <w:b/>
              </w:rPr>
              <w:t>BOWMAN CONSULTING GROUP LTD.</w:t>
            </w:r>
          </w:p>
        </w:tc>
      </w:tr>
      <w:tr>
        <w:trPr>
          <w:trHeight w:val="240" w:hRule="atLeast"/>
        </w:trPr>
        <w:tc>
          <w:tcPr>
            <w:tcW w:w="4485"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4743" w:type="dxa"/>
            <w:gridSpan w:val="2"/>
            <w:tcBorders/>
            <w:vAlign w:val="center"/>
          </w:tcPr>
          <w:p>
            <w:pPr>
              <w:pStyle w:val="TableContents"/>
              <w:bidi w:val="0"/>
              <w:spacing w:before="0" w:after="283"/>
              <w:jc w:val="left"/>
              <w:rPr>
                <w:sz w:val="4"/>
                <w:szCs w:val="4"/>
              </w:rPr>
            </w:pPr>
            <w:r>
              <w:rPr>
                <w:sz w:val="4"/>
                <w:szCs w:val="4"/>
              </w:rPr>
            </w:r>
          </w:p>
        </w:tc>
      </w:tr>
      <w:tr>
        <w:trPr/>
        <w:tc>
          <w:tcPr>
            <w:tcW w:w="4485" w:type="dxa"/>
            <w:tcBorders/>
            <w:vAlign w:val="bottom"/>
          </w:tcPr>
          <w:p>
            <w:pPr>
              <w:pStyle w:val="TableContents"/>
              <w:bidi w:val="0"/>
              <w:spacing w:before="0" w:after="283"/>
              <w:jc w:val="left"/>
              <w:rPr/>
            </w:pPr>
            <w:r>
              <w:rPr/>
              <w:t>Date: September 14, 2026</w:t>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3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Labovitz</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pPr>
            <w:r>
              <w:rPr/>
              <w:t>Bruce Labovitz</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Announces Expiration of “Go-Shop” Period </w:t>
      </w:r>
    </w:p>
    <w:p>
      <w:pPr>
        <w:pStyle w:val="TextBody"/>
        <w:bidi w:val="0"/>
        <w:spacing w:before="120" w:after="0"/>
        <w:jc w:val="center"/>
        <w:rPr>
          <w:rFonts w:ascii="Times New Roman" w:hAnsi="Times New Roman"/>
          <w:i/>
          <w:sz w:val="20"/>
        </w:rPr>
      </w:pPr>
      <w:r>
        <w:rPr>
          <w:rFonts w:ascii="Times New Roman" w:hAnsi="Times New Roman"/>
          <w:i/>
          <w:sz w:val="20"/>
        </w:rPr>
        <w:t xml:space="preserve">Previously Announced Transaction with Bernhard Capital Partners Remains Expected to Close in the Fourth Quarter of 2026 </w:t>
      </w:r>
    </w:p>
    <w:p>
      <w:pPr>
        <w:pStyle w:val="TextBody"/>
        <w:bidi w:val="0"/>
        <w:spacing w:before="240" w:after="0"/>
        <w:jc w:val="left"/>
        <w:rPr>
          <w:rFonts w:ascii="Times New Roman" w:hAnsi="Times New Roman"/>
          <w:sz w:val="20"/>
        </w:rPr>
      </w:pPr>
      <w:r>
        <w:rPr>
          <w:rFonts w:ascii="Times New Roman" w:hAnsi="Times New Roman"/>
          <w:b/>
          <w:sz w:val="20"/>
        </w:rPr>
        <w:t>RESTON, Va.,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Bowman Consulting Group Ltd. (NASDAQ: BWMN) (“Bowman” or the “Company”), a national engineering services and program management firm, today announced the expiration of the “go-shop” period under the terms of the previously announced definitive merger agreement with entities affiliated with Bernhard Capital Partners (“Bernhard”), dated as of August 10, 2026, pursuant to which Bernhard will acquire the Company in an all-cash transaction for $43.00 per share. The “go-shop” period expired at 5:00 p.m. Eastern Time on September 13, 2026. No proposals were received prior to the expiration.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35-day “go-shop” period, at the direction of the Board of Directors, the Company and its financial advisor, BofA Securities, actively solicited inquiries relating to alternative acquisition proposals from a wide range of potentially interested third parties. In total, the Company contacted 76 potentially interested parties. This process included entering into confidentiality agreements with 8 parties and providing access to certain information regarding the Company. As of the conclusion of the “go-shop” period, no party represented an “Excluded Party”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expiration of the go-shop, the Company became subject to customary “no-shop” provisions that limit its and its representatives’ ability to solicit alternative acquisition proposals from third parties or to provide confidential information to third parties, subject to specific exceptions outlined in the definitive merger agreement, including customary “fiduciary out” provisions.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under the terms of the merger agreement, Bernhard will acquire Bowman in an all-cash transaction for $43.00 per share, representing an enterprise value of approximately $1.0 billion. The purchase price represents a premium of approximately 58% to Bowman’s unaffected closing share price on Friday, August 7, 2026, and a 57% premium to the Company’s 30-day volume-weighted average share price. The transaction is expected to close in the fourth quarter of calendar year 2026, subject to approval by Bowman shareholders, receipt of required regulatory approvals and the satisfaction or waiver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 xml:space="preserve">Headquartered in Reston, Virginia, Bowman is a national engineering services firm delivering infrastructure solutions to customers who own, develop and maintain the built environment. With over 2,500 employees and 100 offices throughout the U.S., Bowman provides a variety of planning, engineering, geospatial, construction management, commissioning, environmental consulting, land procurement and other technical services to customers operating in a diverse set of regulated end markets. Bowman trades on the Nasdaq under the symbol BWMN. For more information, visit bowman.com or investors.bowman.com.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2">
        <w:r>
          <w:rPr>
            <w:rStyle w:val="InternetLink"/>
            <w:rFonts w:ascii="Times New Roman" w:hAnsi="Times New Roman"/>
            <w:sz w:val="20"/>
          </w:rPr>
          <w:t>proxy statement on Schedule 14A</w:t>
        </w:r>
      </w:hyperlink>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and the Company’s Quarterly Report on </w:t>
      </w:r>
      <w:r>
        <w:rPr>
          <w:rFonts w:ascii="Times New Roman" w:hAnsi="Times New Roman"/>
          <w:sz w:val="20"/>
          <w:u w:val="single"/>
        </w:rPr>
        <w:t>Form 10-Q for the fiscal quarter ended June 30, 2026</w:t>
      </w:r>
      <w:r>
        <w:rPr>
          <w:rFonts w:ascii="Times New Roman" w:hAnsi="Times New Roman"/>
          <w:sz w:val="20"/>
        </w:rPr>
        <w:t xml:space="preserve">, each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sz w:val="20"/>
        </w:rPr>
      </w:pPr>
      <w:r>
        <w:rPr>
          <w:rFonts w:ascii="Times New Roman" w:hAnsi="Times New Roman"/>
          <w:b/>
          <w:sz w:val="20"/>
        </w:rPr>
        <w:t>Contacts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Ed Hammond / David Feldman / Quinn Conway </w:t>
      </w:r>
    </w:p>
    <w:p>
      <w:pPr>
        <w:pStyle w:val="TextBody"/>
        <w:bidi w:val="0"/>
        <w:spacing w:before="0" w:after="0"/>
        <w:jc w:val="left"/>
        <w:rPr>
          <w:rFonts w:ascii="Times New Roman" w:hAnsi="Times New Roman"/>
          <w:sz w:val="20"/>
        </w:rPr>
      </w:pPr>
      <w:r>
        <w:rPr>
          <w:rFonts w:ascii="Times New Roman" w:hAnsi="Times New Roman"/>
          <w:sz w:val="20"/>
        </w:rPr>
        <w:t xml:space="preserve">Collected Strategies </w:t>
      </w:r>
    </w:p>
    <w:p>
      <w:pPr>
        <w:pStyle w:val="TextBody"/>
        <w:bidi w:val="0"/>
        <w:spacing w:before="0" w:after="0"/>
        <w:jc w:val="left"/>
        <w:rPr>
          <w:rFonts w:ascii="Times New Roman" w:hAnsi="Times New Roman"/>
          <w:sz w:val="20"/>
        </w:rPr>
      </w:pPr>
      <w:r>
        <w:rPr>
          <w:rFonts w:ascii="Times New Roman" w:hAnsi="Times New Roman"/>
          <w:sz w:val="20"/>
          <w:u w:val="single"/>
        </w:rPr>
        <w:t>BWMN-CS@collectedstrategies.com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Bernhard Capital Partners </w:t>
      </w:r>
    </w:p>
    <w:p>
      <w:pPr>
        <w:pStyle w:val="TextBody"/>
        <w:bidi w:val="0"/>
        <w:spacing w:before="0" w:after="0"/>
        <w:jc w:val="left"/>
        <w:rPr>
          <w:rFonts w:ascii="Times New Roman" w:hAnsi="Times New Roman"/>
          <w:sz w:val="20"/>
        </w:rPr>
      </w:pPr>
      <w:r>
        <w:rPr>
          <w:rFonts w:ascii="Times New Roman" w:hAnsi="Times New Roman"/>
          <w:sz w:val="20"/>
        </w:rPr>
        <w:t xml:space="preserve">Prosek Partners for Bernhard Capital Partners </w:t>
      </w:r>
    </w:p>
    <w:p>
      <w:pPr>
        <w:pStyle w:val="TextBody"/>
        <w:bidi w:val="0"/>
        <w:spacing w:before="0" w:after="0"/>
        <w:jc w:val="left"/>
        <w:rPr>
          <w:rFonts w:ascii="Times New Roman" w:hAnsi="Times New Roman"/>
          <w:sz w:val="20"/>
        </w:rPr>
      </w:pPr>
      <w:r>
        <w:rPr>
          <w:rFonts w:ascii="Times New Roman" w:hAnsi="Times New Roman"/>
          <w:sz w:val="20"/>
          <w:u w:val="single"/>
        </w:rPr>
        <w:t>pro-Bernhard@prosek.com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847590/000119312526186892/d944193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3763</Words>
  <Characters>21251</Characters>
  <CharactersWithSpaces>25039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