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3204ddefa14a.htm"/>
      <w:bookmarkStart w:id="1" w:name="ksd153204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The following email was sent to employees of Bowman Consulting Group Ltd. on August 10, 2026: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09"/>
        <w:gridCol w:w="182"/>
        <w:gridCol w:w="3240"/>
        <w:gridCol w:w="323"/>
        <w:gridCol w:w="3151"/>
      </w:tblGrid>
      <w:tr>
        <w:trPr/>
        <w:tc>
          <w:tcPr>
            <w:tcW w:w="3309"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330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714" w:type="dxa"/>
            <w:gridSpan w:val="3"/>
            <w:tcBorders/>
          </w:tcPr>
          <w:p>
            <w:pPr>
              <w:pStyle w:val="TableContents"/>
              <w:bidi w:val="0"/>
              <w:spacing w:before="0" w:after="283"/>
              <w:jc w:val="left"/>
              <w:rPr>
                <w:b/>
              </w:rPr>
            </w:pPr>
            <w:r>
              <w:rPr>
                <w:b/>
              </w:rPr>
              <w:t>A Message from Gary Bowman</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008505" cy="3738245"/>
                <wp:effectExtent l="0" t="0" r="0" b="0"/>
                <wp:wrapSquare wrapText="right"/>
                <wp:docPr id="1" name="Frame1"/>
                <a:graphic xmlns:a="http://schemas.openxmlformats.org/drawingml/2006/main">
                  <a:graphicData uri="http://schemas.microsoft.com/office/word/2010/wordprocessingShape">
                    <wps:wsp>
                      <wps:cNvSpPr txBox="1"/>
                      <wps:spPr>
                        <a:xfrm>
                          <a:off x="0" y="0"/>
                          <a:ext cx="2008505" cy="3738245"/>
                        </a:xfrm>
                        <a:prstGeom prst="rect"/>
                        <a:solidFill>
                          <a:srgbClr val="FFFFFF"/>
                        </a:solidFill>
                      </wps:spPr>
                      <wps:txbx>
                        <w:txbxContent>
                          <w:p>
                            <w:pPr>
                              <w:pStyle w:val="TextBody"/>
                              <w:bidi w:val="0"/>
                              <w:spacing w:before="0" w:after="0"/>
                              <w:jc w:val="left"/>
                              <w:rPr/>
                            </w:pPr>
                            <w:r>
                              <w:rPr/>
                              <w:drawing>
                                <wp:inline distT="0" distB="0" distL="0" distR="0">
                                  <wp:extent cx="2476500" cy="37052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476500" cy="370522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31000</wp14:pctWidth>
                </wp14:sizeRelH>
              </wp:anchor>
            </w:drawing>
          </mc:Choice>
          <mc:Fallback>
            <w:pict>
              <v:rect style="position:absolute;rotation:-0;width:158.15pt;height:294.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drawing>
                          <wp:inline distT="0" distB="0" distL="0" distR="0">
                            <wp:extent cx="2476500" cy="37052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2476500" cy="370522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008505" cy="8005445"/>
                <wp:effectExtent l="0" t="0" r="0" b="0"/>
                <wp:wrapSquare wrapText="right"/>
                <wp:docPr id="4" name="Frame3"/>
                <a:graphic xmlns:a="http://schemas.openxmlformats.org/drawingml/2006/main">
                  <a:graphicData uri="http://schemas.microsoft.com/office/word/2010/wordprocessingShape">
                    <wps:wsp>
                      <wps:cNvSpPr txBox="1"/>
                      <wps:spPr>
                        <a:xfrm>
                          <a:off x="0" y="0"/>
                          <a:ext cx="2008505" cy="8005445"/>
                        </a:xfrm>
                        <a:prstGeom prst="rect"/>
                        <a:solidFill>
                          <a:srgbClr val="FFFFFF"/>
                        </a:solidFill>
                      </wps:spPr>
                      <wps:txbx>
                        <w:txbxContent>
                          <w:p>
                            <w:pPr>
                              <w:pStyle w:val="TextBody"/>
                              <w:bidi w:val="0"/>
                              <w:spacing w:before="0" w:after="0"/>
                              <w:jc w:val="left"/>
                              <w:rPr>
                                <w:rFonts w:ascii="Times New Roman" w:hAnsi="Times New Roman"/>
                                <w:sz w:val="18"/>
                              </w:rPr>
                            </w:pPr>
                            <w:r>
                              <w:rPr>
                                <w:rFonts w:ascii="Times New Roman" w:hAnsi="Times New Roman"/>
                                <w:sz w:val="18"/>
                              </w:rPr>
                              <w:t xml:space="preserve">negotiate alternative acquisition proposals from third parties for a period of time prior to the stockholder meeting to approve our transaction with Bernhard. While the go-shop period in addition to customary closing conditions means the process is not yet complete, we believe the transaction with Bernhard represents an exciting path forward for our company and our people. </w:t>
                            </w:r>
                          </w:p>
                          <w:p>
                            <w:pPr>
                              <w:pStyle w:val="TextBody"/>
                              <w:bidi w:val="0"/>
                              <w:spacing w:before="240" w:after="0"/>
                              <w:jc w:val="left"/>
                              <w:rPr>
                                <w:rFonts w:ascii="Times New Roman" w:hAnsi="Times New Roman"/>
                                <w:sz w:val="18"/>
                              </w:rPr>
                            </w:pPr>
                            <w:r>
                              <w:rPr>
                                <w:rFonts w:ascii="Times New Roman" w:hAnsi="Times New Roman"/>
                                <w:sz w:val="18"/>
                              </w:rPr>
                              <w:t xml:space="preserve">I want to reassure you that nothing changes in our day-to-day work as a result of today’s announcement. Until this transaction officially closes, which we expect to occur in the fourth quarter of calendar year 2026 or the first quarter of calendar year 2027 (subject to the completion of the go-shop period and several other conditions), Bowman and Bernhard Capital Partners remain separate entities. </w:t>
                            </w:r>
                          </w:p>
                          <w:p>
                            <w:pPr>
                              <w:pStyle w:val="TextBody"/>
                              <w:bidi w:val="0"/>
                              <w:spacing w:before="240" w:after="0"/>
                              <w:jc w:val="left"/>
                              <w:rPr>
                                <w:rFonts w:ascii="Times New Roman" w:hAnsi="Times New Roman"/>
                                <w:sz w:val="18"/>
                              </w:rPr>
                            </w:pPr>
                            <w:r>
                              <w:rPr>
                                <w:rFonts w:ascii="Times New Roman" w:hAnsi="Times New Roman"/>
                                <w:sz w:val="18"/>
                              </w:rPr>
                              <w:t xml:space="preserve">I’ve also provided an </w:t>
                            </w:r>
                            <w:r>
                              <w:rPr>
                                <w:rFonts w:ascii="Times New Roman" w:hAnsi="Times New Roman"/>
                                <w:sz w:val="18"/>
                                <w:u w:val="single"/>
                              </w:rPr>
                              <w:t>FAQ document</w:t>
                            </w:r>
                            <w:r>
                              <w:rPr>
                                <w:rFonts w:ascii="Times New Roman" w:hAnsi="Times New Roman"/>
                                <w:sz w:val="18"/>
                              </w:rPr>
                              <w:t xml:space="preserve"> that I hope will be helpful in answering some of your initial questions. We will keep you informed as this process unfolds, and there will be plenty of opportunities to make sure questions are addressed. For any inquiries you may receive from clients or suppliers, please route those to your Divisional Manager or Executive Leader. </w:t>
                            </w:r>
                          </w:p>
                          <w:p>
                            <w:pPr>
                              <w:pStyle w:val="TextBody"/>
                              <w:bidi w:val="0"/>
                              <w:spacing w:before="240" w:after="0"/>
                              <w:jc w:val="left"/>
                              <w:rPr>
                                <w:rFonts w:ascii="Times New Roman" w:hAnsi="Times New Roman"/>
                                <w:sz w:val="18"/>
                              </w:rPr>
                            </w:pPr>
                            <w:r>
                              <w:rPr>
                                <w:rFonts w:ascii="Times New Roman" w:hAnsi="Times New Roman"/>
                                <w:sz w:val="18"/>
                              </w:rPr>
                              <w:t xml:space="preserve">Over the past 31 years, we have grown from a small engineering outfit into a nationwide platform of more than 2,500 team members working on some of the most complex infrastructure projects in the country. It has been and remains the privilege of my career to lead this team. Over the coming weeks and months, I would ask for your support, flexibility, and continued dedication as we work through these details. </w:t>
                            </w:r>
                          </w:p>
                          <w:p>
                            <w:pPr>
                              <w:pStyle w:val="TextBody"/>
                              <w:bidi w:val="0"/>
                              <w:spacing w:before="240" w:after="0"/>
                              <w:jc w:val="left"/>
                              <w:rPr>
                                <w:rFonts w:ascii="Times New Roman" w:hAnsi="Times New Roman"/>
                                <w:sz w:val="18"/>
                              </w:rPr>
                            </w:pPr>
                            <w:r>
                              <w:rPr>
                                <w:rFonts w:ascii="Times New Roman" w:hAnsi="Times New Roman"/>
                                <w:sz w:val="18"/>
                              </w:rPr>
                              <w:t xml:space="preserve">I am confident that this transaction will position our platform, our work, and our people for long-term success.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1"/>
                              <w:gridCol w:w="32"/>
                              <w:gridCol w:w="1550"/>
                            </w:tblGrid>
                            <w:tr>
                              <w:trPr/>
                              <w:tc>
                                <w:tcPr>
                                  <w:tcW w:w="1581" w:type="dxa"/>
                                  <w:tcBorders/>
                                  <w:vAlign w:val="center"/>
                                </w:tcPr>
                                <w:p>
                                  <w:pPr>
                                    <w:pStyle w:val="TableContents"/>
                                    <w:bidi w:val="0"/>
                                    <w:spacing w:before="0" w:after="283"/>
                                    <w:jc w:val="left"/>
                                    <w:rPr>
                                      <w:sz w:val="4"/>
                                      <w:szCs w:val="4"/>
                                    </w:rPr>
                                  </w:pPr>
                                  <w:r>
                                    <w:rPr>
                                      <w:sz w:val="4"/>
                                      <w:szCs w:val="4"/>
                                    </w:rPr>
                                  </w:r>
                                </w:p>
                              </w:tc>
                              <w:tc>
                                <w:tcPr>
                                  <w:tcW w:w="32" w:type="dxa"/>
                                  <w:tcBorders/>
                                  <w:vAlign w:val="bottom"/>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1581" w:type="dxa"/>
                                  <w:tcBorders/>
                                </w:tcPr>
                                <w:p>
                                  <w:pPr>
                                    <w:pStyle w:val="TableContents"/>
                                    <w:bidi w:val="0"/>
                                    <w:spacing w:before="0" w:after="283"/>
                                    <w:jc w:val="left"/>
                                    <w:rPr>
                                      <w:sz w:val="18"/>
                                    </w:rPr>
                                  </w:pPr>
                                  <w:r>
                                    <w:rPr>
                                      <w:sz w:val="18"/>
                                    </w:rPr>
                                    <w:t>With appreciation,</w:t>
                                  </w:r>
                                </w:p>
                              </w:tc>
                              <w:tc>
                                <w:tcPr>
                                  <w:tcW w:w="32"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drawing>
                                      <wp:inline distT="0" distB="0" distL="0" distR="0">
                                        <wp:extent cx="1238250" cy="9715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1238250" cy="971550"/>
                                                </a:xfrm>
                                                <a:prstGeom prst="rect">
                                                  <a:avLst/>
                                                </a:prstGeom>
                                              </pic:spPr>
                                            </pic:pic>
                                          </a:graphicData>
                                        </a:graphic>
                                      </wp:inline>
                                    </w:drawing>
                                  </w:r>
                                  <w:r>
                                    <w:rPr/>
                                    <w:t xml:space="preserv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31000</wp14:pctWidth>
                </wp14:sizeRelH>
              </wp:anchor>
            </w:drawing>
          </mc:Choice>
          <mc:Fallback>
            <w:pict>
              <v:rect style="position:absolute;rotation:-0;width:158.15pt;height:630.35pt;mso-wrap-distance-left:0pt;mso-wrap-distance-right:0pt;mso-wrap-distance-top:0pt;mso-wrap-distance-bottom:0pt;margin-top:0pt;mso-position-vertical:top;mso-position-vertical-relative:text;margin-left:158.15pt;mso-position-horizontal:left;mso-position-horizontal-relative:text">
                <v:textbox inset="0in,0in,0in,0in">
                  <w:txbxContent>
                    <w:p>
                      <w:pPr>
                        <w:pStyle w:val="TextBody"/>
                        <w:bidi w:val="0"/>
                        <w:spacing w:before="0" w:after="0"/>
                        <w:jc w:val="left"/>
                        <w:rPr>
                          <w:rFonts w:ascii="Times New Roman" w:hAnsi="Times New Roman"/>
                          <w:sz w:val="18"/>
                        </w:rPr>
                      </w:pPr>
                      <w:r>
                        <w:rPr>
                          <w:rFonts w:ascii="Times New Roman" w:hAnsi="Times New Roman"/>
                          <w:sz w:val="18"/>
                        </w:rPr>
                        <w:t xml:space="preserve">negotiate alternative acquisition proposals from third parties for a period of time prior to the stockholder meeting to approve our transaction with Bernhard. While the go-shop period in addition to customary closing conditions means the process is not yet complete, we believe the transaction with Bernhard represents an exciting path forward for our company and our people. </w:t>
                      </w:r>
                    </w:p>
                    <w:p>
                      <w:pPr>
                        <w:pStyle w:val="TextBody"/>
                        <w:bidi w:val="0"/>
                        <w:spacing w:before="240" w:after="0"/>
                        <w:jc w:val="left"/>
                        <w:rPr>
                          <w:rFonts w:ascii="Times New Roman" w:hAnsi="Times New Roman"/>
                          <w:sz w:val="18"/>
                        </w:rPr>
                      </w:pPr>
                      <w:r>
                        <w:rPr>
                          <w:rFonts w:ascii="Times New Roman" w:hAnsi="Times New Roman"/>
                          <w:sz w:val="18"/>
                        </w:rPr>
                        <w:t xml:space="preserve">I want to reassure you that nothing changes in our day-to-day work as a result of today’s announcement. Until this transaction officially closes, which we expect to occur in the fourth quarter of calendar year 2026 or the first quarter of calendar year 2027 (subject to the completion of the go-shop period and several other conditions), Bowman and Bernhard Capital Partners remain separate entities. </w:t>
                      </w:r>
                    </w:p>
                    <w:p>
                      <w:pPr>
                        <w:pStyle w:val="TextBody"/>
                        <w:bidi w:val="0"/>
                        <w:spacing w:before="240" w:after="0"/>
                        <w:jc w:val="left"/>
                        <w:rPr>
                          <w:rFonts w:ascii="Times New Roman" w:hAnsi="Times New Roman"/>
                          <w:sz w:val="18"/>
                        </w:rPr>
                      </w:pPr>
                      <w:r>
                        <w:rPr>
                          <w:rFonts w:ascii="Times New Roman" w:hAnsi="Times New Roman"/>
                          <w:sz w:val="18"/>
                        </w:rPr>
                        <w:t xml:space="preserve">I’ve also provided an </w:t>
                      </w:r>
                      <w:r>
                        <w:rPr>
                          <w:rFonts w:ascii="Times New Roman" w:hAnsi="Times New Roman"/>
                          <w:sz w:val="18"/>
                          <w:u w:val="single"/>
                        </w:rPr>
                        <w:t>FAQ document</w:t>
                      </w:r>
                      <w:r>
                        <w:rPr>
                          <w:rFonts w:ascii="Times New Roman" w:hAnsi="Times New Roman"/>
                          <w:sz w:val="18"/>
                        </w:rPr>
                        <w:t xml:space="preserve"> that I hope will be helpful in answering some of your initial questions. We will keep you informed as this process unfolds, and there will be plenty of opportunities to make sure questions are addressed. For any inquiries you may receive from clients or suppliers, please route those to your Divisional Manager or Executive Leader. </w:t>
                      </w:r>
                    </w:p>
                    <w:p>
                      <w:pPr>
                        <w:pStyle w:val="TextBody"/>
                        <w:bidi w:val="0"/>
                        <w:spacing w:before="240" w:after="0"/>
                        <w:jc w:val="left"/>
                        <w:rPr>
                          <w:rFonts w:ascii="Times New Roman" w:hAnsi="Times New Roman"/>
                          <w:sz w:val="18"/>
                        </w:rPr>
                      </w:pPr>
                      <w:r>
                        <w:rPr>
                          <w:rFonts w:ascii="Times New Roman" w:hAnsi="Times New Roman"/>
                          <w:sz w:val="18"/>
                        </w:rPr>
                        <w:t xml:space="preserve">Over the past 31 years, we have grown from a small engineering outfit into a nationwide platform of more than 2,500 team members working on some of the most complex infrastructure projects in the country. It has been and remains the privilege of my career to lead this team. Over the coming weeks and months, I would ask for your support, flexibility, and continued dedication as we work through these details. </w:t>
                      </w:r>
                    </w:p>
                    <w:p>
                      <w:pPr>
                        <w:pStyle w:val="TextBody"/>
                        <w:bidi w:val="0"/>
                        <w:spacing w:before="240" w:after="0"/>
                        <w:jc w:val="left"/>
                        <w:rPr>
                          <w:rFonts w:ascii="Times New Roman" w:hAnsi="Times New Roman"/>
                          <w:sz w:val="18"/>
                        </w:rPr>
                      </w:pPr>
                      <w:r>
                        <w:rPr>
                          <w:rFonts w:ascii="Times New Roman" w:hAnsi="Times New Roman"/>
                          <w:sz w:val="18"/>
                        </w:rPr>
                        <w:t xml:space="preserve">I am confident that this transaction will position our platform, our work, and our people for long-term success.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1"/>
                        <w:gridCol w:w="32"/>
                        <w:gridCol w:w="1550"/>
                      </w:tblGrid>
                      <w:tr>
                        <w:trPr/>
                        <w:tc>
                          <w:tcPr>
                            <w:tcW w:w="1581" w:type="dxa"/>
                            <w:tcBorders/>
                            <w:vAlign w:val="center"/>
                          </w:tcPr>
                          <w:p>
                            <w:pPr>
                              <w:pStyle w:val="TableContents"/>
                              <w:bidi w:val="0"/>
                              <w:spacing w:before="0" w:after="283"/>
                              <w:jc w:val="left"/>
                              <w:rPr>
                                <w:sz w:val="4"/>
                                <w:szCs w:val="4"/>
                              </w:rPr>
                            </w:pPr>
                            <w:r>
                              <w:rPr>
                                <w:sz w:val="4"/>
                                <w:szCs w:val="4"/>
                              </w:rPr>
                            </w:r>
                          </w:p>
                        </w:tc>
                        <w:tc>
                          <w:tcPr>
                            <w:tcW w:w="32" w:type="dxa"/>
                            <w:tcBorders/>
                            <w:vAlign w:val="bottom"/>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1581" w:type="dxa"/>
                            <w:tcBorders/>
                          </w:tcPr>
                          <w:p>
                            <w:pPr>
                              <w:pStyle w:val="TableContents"/>
                              <w:bidi w:val="0"/>
                              <w:spacing w:before="0" w:after="283"/>
                              <w:jc w:val="left"/>
                              <w:rPr>
                                <w:sz w:val="18"/>
                              </w:rPr>
                            </w:pPr>
                            <w:r>
                              <w:rPr>
                                <w:sz w:val="18"/>
                              </w:rPr>
                              <w:t>With appreciation,</w:t>
                            </w:r>
                          </w:p>
                        </w:tc>
                        <w:tc>
                          <w:tcPr>
                            <w:tcW w:w="32" w:type="dxa"/>
                            <w:tcBorders/>
                            <w:vAlign w:val="bottom"/>
                          </w:tcPr>
                          <w:p>
                            <w:pPr>
                              <w:pStyle w:val="TableContents"/>
                              <w:bidi w:val="0"/>
                              <w:spacing w:before="0" w:after="283"/>
                              <w:jc w:val="left"/>
                              <w:rPr/>
                            </w:pPr>
                            <w:r>
                              <w:rPr/>
                              <w:t> </w:t>
                            </w:r>
                          </w:p>
                        </w:tc>
                        <w:tc>
                          <w:tcPr>
                            <w:tcW w:w="1550" w:type="dxa"/>
                            <w:tcBorders/>
                          </w:tcPr>
                          <w:p>
                            <w:pPr>
                              <w:pStyle w:val="TableContents"/>
                              <w:bidi w:val="0"/>
                              <w:spacing w:before="0" w:after="283"/>
                              <w:jc w:val="left"/>
                              <w:rPr/>
                            </w:pPr>
                            <w:r>
                              <w:rPr/>
                              <w:drawing>
                                <wp:inline distT="0" distB="0" distL="0" distR="0">
                                  <wp:extent cx="1238250" cy="9715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5"/>
                                          <a:stretch>
                                            <a:fillRect/>
                                          </a:stretch>
                                        </pic:blipFill>
                                        <pic:spPr bwMode="auto">
                                          <a:xfrm>
                                            <a:off x="0" y="0"/>
                                            <a:ext cx="1238250" cy="971550"/>
                                          </a:xfrm>
                                          <a:prstGeom prst="rect">
                                            <a:avLst/>
                                          </a:prstGeom>
                                        </pic:spPr>
                                      </pic:pic>
                                    </a:graphicData>
                                  </a:graphic>
                                </wp:inline>
                              </w:drawing>
                            </w:r>
                            <w:r>
                              <w:rPr/>
                              <w:t xml:space="preserv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073275" cy="6635115"/>
                <wp:effectExtent l="0" t="0" r="0" b="0"/>
                <wp:wrapSquare wrapText="right"/>
                <wp:docPr id="7" name="Frame2"/>
                <a:graphic xmlns:a="http://schemas.openxmlformats.org/drawingml/2006/main">
                  <a:graphicData uri="http://schemas.microsoft.com/office/word/2010/wordprocessingShape">
                    <wps:wsp>
                      <wps:cNvSpPr txBox="1"/>
                      <wps:spPr>
                        <a:xfrm>
                          <a:off x="0" y="0"/>
                          <a:ext cx="2073275" cy="6635115"/>
                        </a:xfrm>
                        <a:prstGeom prst="rect"/>
                        <a:solidFill>
                          <a:srgbClr val="FFFFFF"/>
                        </a:solidFill>
                      </wps:spPr>
                      <wps:txbx>
                        <w:txbxContent>
                          <w:p>
                            <w:pPr>
                              <w:pStyle w:val="TextBody"/>
                              <w:bidi w:val="0"/>
                              <w:spacing w:before="0" w:after="0"/>
                              <w:jc w:val="left"/>
                              <w:rPr>
                                <w:rFonts w:ascii="Times New Roman" w:hAnsi="Times New Roman"/>
                                <w:sz w:val="18"/>
                              </w:rPr>
                            </w:pPr>
                            <w:r>
                              <w:rPr>
                                <w:rFonts w:ascii="Times New Roman" w:hAnsi="Times New Roman"/>
                                <w:sz w:val="18"/>
                              </w:rPr>
                              <w:t xml:space="preserve">I have important news to share with you all. This morning, we </w:t>
                            </w:r>
                            <w:r>
                              <w:rPr>
                                <w:rFonts w:ascii="Times New Roman" w:hAnsi="Times New Roman"/>
                                <w:sz w:val="18"/>
                                <w:u w:val="single"/>
                              </w:rPr>
                              <w:t>announced</w:t>
                            </w:r>
                            <w:r>
                              <w:rPr>
                                <w:rFonts w:ascii="Times New Roman" w:hAnsi="Times New Roman"/>
                                <w:sz w:val="18"/>
                              </w:rPr>
                              <w:t xml:space="preserve"> that Bowman has entered into a definitive agreement to be acquired by Bernhard Capital Partners, an infrastructure and services-focused investment firm based in Baton Rouge, Louisiana. The structure of this agreement is an all-cash transaction that values Bowman at $43.00 per share, or approximately $1 billion. This represents a significant premium over our stock price as of Friday’s closing. </w:t>
                            </w:r>
                          </w:p>
                          <w:p>
                            <w:pPr>
                              <w:pStyle w:val="TextBody"/>
                              <w:bidi w:val="0"/>
                              <w:spacing w:before="240" w:after="0"/>
                              <w:jc w:val="left"/>
                              <w:rPr>
                                <w:rFonts w:ascii="Times New Roman" w:hAnsi="Times New Roman"/>
                                <w:sz w:val="18"/>
                              </w:rPr>
                            </w:pPr>
                            <w:r>
                              <w:rPr>
                                <w:rFonts w:ascii="Times New Roman" w:hAnsi="Times New Roman"/>
                                <w:sz w:val="18"/>
                              </w:rPr>
                              <w:t xml:space="preserve">When we took Bowman public five years ago, we did it to accelerate our growth and our reach. We have done that and more, and the compelling value reflected in this transaction is a testament to the respect our business has earned in our industry and to the incredible people at the heart of our work. I have tremendous gratitude for the way our team has consistently shown up through different chapters and market environments. This represents an exciting opportunity for us to enter a new chapter that will allow us to continue growing the business and pursuing the mission we have embraced for more than three decades. </w:t>
                            </w:r>
                          </w:p>
                          <w:p>
                            <w:pPr>
                              <w:pStyle w:val="TextBody"/>
                              <w:bidi w:val="0"/>
                              <w:spacing w:before="240" w:after="0"/>
                              <w:jc w:val="left"/>
                              <w:rPr>
                                <w:rFonts w:ascii="Times New Roman" w:hAnsi="Times New Roman"/>
                                <w:sz w:val="18"/>
                              </w:rPr>
                            </w:pPr>
                            <w:r>
                              <w:rPr>
                                <w:rFonts w:ascii="Times New Roman" w:hAnsi="Times New Roman"/>
                                <w:sz w:val="18"/>
                              </w:rPr>
                              <w:t xml:space="preserve">I also recognize that a development like this naturally introduces an element of uncertainty. As a public company, our Board has a fiduciary responsibility to evaluate and weigh the full landscape of value-enhancing opportunities for our shareholders. We have come to know Bernhard from its many years investing in our sector, and they certainly understand what we do in a sophisticated way. Moreover, they respect our people, our technical discipline, and they have a real appreciation for the long-term nature of our work. Through our conversations, it became clear that they have a vision to provide Bowman with a platform where the business can focus on building and executing well into the future. </w:t>
                            </w:r>
                          </w:p>
                          <w:p>
                            <w:pPr>
                              <w:pStyle w:val="TextBody"/>
                              <w:bidi w:val="0"/>
                              <w:spacing w:before="240" w:after="0"/>
                              <w:jc w:val="left"/>
                              <w:rPr>
                                <w:rFonts w:ascii="Times New Roman" w:hAnsi="Times New Roman"/>
                                <w:sz w:val="18"/>
                              </w:rPr>
                            </w:pPr>
                            <w:r>
                              <w:rPr>
                                <w:rFonts w:ascii="Times New Roman" w:hAnsi="Times New Roman"/>
                                <w:sz w:val="18"/>
                              </w:rPr>
                              <w:t xml:space="preserve">It’s important to note that the transaction contains a “go-shop” provision. This allows the Board to actively solicit, consider and </w:t>
                            </w:r>
                          </w:p>
                        </w:txbxContent>
                      </wps:txbx>
                      <wps:bodyPr anchor="t" lIns="0" tIns="0" rIns="0" bIns="0">
                        <a:noAutofit/>
                      </wps:bodyPr>
                    </wps:wsp>
                  </a:graphicData>
                </a:graphic>
                <wp14:sizeRelH relativeFrom="margin">
                  <wp14:pctWidth>32000</wp14:pctWidth>
                </wp14:sizeRelH>
              </wp:anchor>
            </w:drawing>
          </mc:Choice>
          <mc:Fallback>
            <w:pict>
              <v:rect style="position:absolute;rotation:-0;width:163.25pt;height:522.45pt;mso-wrap-distance-left:0pt;mso-wrap-distance-right:0pt;mso-wrap-distance-top:0pt;mso-wrap-distance-bottom:0pt;margin-top:0pt;mso-position-vertical:top;mso-position-vertical-relative:text;margin-left:316.3pt;mso-position-horizontal:left;mso-position-horizontal-relative:text">
                <v:textbox inset="0in,0in,0in,0in">
                  <w:txbxContent>
                    <w:p>
                      <w:pPr>
                        <w:pStyle w:val="TextBody"/>
                        <w:bidi w:val="0"/>
                        <w:spacing w:before="0" w:after="0"/>
                        <w:jc w:val="left"/>
                        <w:rPr>
                          <w:rFonts w:ascii="Times New Roman" w:hAnsi="Times New Roman"/>
                          <w:sz w:val="18"/>
                        </w:rPr>
                      </w:pPr>
                      <w:r>
                        <w:rPr>
                          <w:rFonts w:ascii="Times New Roman" w:hAnsi="Times New Roman"/>
                          <w:sz w:val="18"/>
                        </w:rPr>
                        <w:t xml:space="preserve">I have important news to share with you all. This morning, we </w:t>
                      </w:r>
                      <w:r>
                        <w:rPr>
                          <w:rFonts w:ascii="Times New Roman" w:hAnsi="Times New Roman"/>
                          <w:sz w:val="18"/>
                          <w:u w:val="single"/>
                        </w:rPr>
                        <w:t>announced</w:t>
                      </w:r>
                      <w:r>
                        <w:rPr>
                          <w:rFonts w:ascii="Times New Roman" w:hAnsi="Times New Roman"/>
                          <w:sz w:val="18"/>
                        </w:rPr>
                        <w:t xml:space="preserve"> that Bowman has entered into a definitive agreement to be acquired by Bernhard Capital Partners, an infrastructure and services-focused investment firm based in Baton Rouge, Louisiana. The structure of this agreement is an all-cash transaction that values Bowman at $43.00 per share, or approximately $1 billion. This represents a significant premium over our stock price as of Friday’s closing. </w:t>
                      </w:r>
                    </w:p>
                    <w:p>
                      <w:pPr>
                        <w:pStyle w:val="TextBody"/>
                        <w:bidi w:val="0"/>
                        <w:spacing w:before="240" w:after="0"/>
                        <w:jc w:val="left"/>
                        <w:rPr>
                          <w:rFonts w:ascii="Times New Roman" w:hAnsi="Times New Roman"/>
                          <w:sz w:val="18"/>
                        </w:rPr>
                      </w:pPr>
                      <w:r>
                        <w:rPr>
                          <w:rFonts w:ascii="Times New Roman" w:hAnsi="Times New Roman"/>
                          <w:sz w:val="18"/>
                        </w:rPr>
                        <w:t xml:space="preserve">When we took Bowman public five years ago, we did it to accelerate our growth and our reach. We have done that and more, and the compelling value reflected in this transaction is a testament to the respect our business has earned in our industry and to the incredible people at the heart of our work. I have tremendous gratitude for the way our team has consistently shown up through different chapters and market environments. This represents an exciting opportunity for us to enter a new chapter that will allow us to continue growing the business and pursuing the mission we have embraced for more than three decades. </w:t>
                      </w:r>
                    </w:p>
                    <w:p>
                      <w:pPr>
                        <w:pStyle w:val="TextBody"/>
                        <w:bidi w:val="0"/>
                        <w:spacing w:before="240" w:after="0"/>
                        <w:jc w:val="left"/>
                        <w:rPr>
                          <w:rFonts w:ascii="Times New Roman" w:hAnsi="Times New Roman"/>
                          <w:sz w:val="18"/>
                        </w:rPr>
                      </w:pPr>
                      <w:r>
                        <w:rPr>
                          <w:rFonts w:ascii="Times New Roman" w:hAnsi="Times New Roman"/>
                          <w:sz w:val="18"/>
                        </w:rPr>
                        <w:t xml:space="preserve">I also recognize that a development like this naturally introduces an element of uncertainty. As a public company, our Board has a fiduciary responsibility to evaluate and weigh the full landscape of value-enhancing opportunities for our shareholders. We have come to know Bernhard from its many years investing in our sector, and they certainly understand what we do in a sophisticated way. Moreover, they respect our people, our technical discipline, and they have a real appreciation for the long-term nature of our work. Through our conversations, it became clear that they have a vision to provide Bowman with a platform where the business can focus on building and executing well into the future. </w:t>
                      </w:r>
                    </w:p>
                    <w:p>
                      <w:pPr>
                        <w:pStyle w:val="TextBody"/>
                        <w:bidi w:val="0"/>
                        <w:spacing w:before="240" w:after="0"/>
                        <w:jc w:val="left"/>
                        <w:rPr>
                          <w:rFonts w:ascii="Times New Roman" w:hAnsi="Times New Roman"/>
                          <w:sz w:val="18"/>
                        </w:rPr>
                      </w:pPr>
                      <w:r>
                        <w:rPr>
                          <w:rFonts w:ascii="Times New Roman" w:hAnsi="Times New Roman"/>
                          <w:sz w:val="18"/>
                        </w:rPr>
                        <w:t xml:space="preserve">It’s important to note that the transaction contains a “go-shop” provision. This allows the Board to actively solicit, consider and </w:t>
                      </w:r>
                    </w:p>
                  </w:txbxContent>
                </v:textbox>
                <w10:wrap type="square" side="right"/>
              </v:rect>
            </w:pict>
          </mc:Fallback>
        </mc:AlternateContent>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b/>
              </w:rPr>
            </w:pPr>
            <w:r>
              <w:rPr>
                <w:b/>
              </w:rPr>
              <w:t>Important Information and Where to Find It</w:t>
            </w:r>
          </w:p>
        </w:tc>
      </w:tr>
    </w:tbl>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425575" cy="9090660"/>
                <wp:effectExtent l="0" t="0" r="0" b="0"/>
                <wp:wrapSquare wrapText="right"/>
                <wp:docPr id="8" name="Frame4"/>
                <a:graphic xmlns:a="http://schemas.openxmlformats.org/drawingml/2006/main">
                  <a:graphicData uri="http://schemas.microsoft.com/office/word/2010/wordprocessingShape">
                    <wps:wsp>
                      <wps:cNvSpPr txBox="1"/>
                      <wps:spPr>
                        <a:xfrm>
                          <a:off x="0" y="0"/>
                          <a:ext cx="1425575" cy="9090660"/>
                        </a:xfrm>
                        <a:prstGeom prst="rect"/>
                        <a:solidFill>
                          <a:srgbClr val="FFFFFF"/>
                        </a:solidFill>
                      </wps:spPr>
                      <wps:txbx>
                        <w:txbxContent>
                          <w:p>
                            <w:pPr>
                              <w:pStyle w:val="TextBody"/>
                              <w:bidi w:val="0"/>
                              <w:spacing w:before="0" w:after="0"/>
                              <w:jc w:val="left"/>
                              <w:rPr>
                                <w:rFonts w:ascii="Times New Roman" w:hAnsi="Times New Roman"/>
                                <w:sz w:val="18"/>
                              </w:rPr>
                            </w:pPr>
                            <w:r>
                              <w:rPr>
                                <w:rFonts w:ascii="Times New Roman" w:hAnsi="Times New Roman"/>
                                <w:sz w:val="18"/>
                              </w:rPr>
                              <w:t xml:space="preserve">The merger transaction described in this communication (the “Merger”) will be submitted to the Company’s stockholders for their consideration and approval at a special meeting. In connection with the Merger, Bowman Consulting Group Ltd. (the “Company”) intends to file with the Securities and Exchange Commission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communication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18"/>
                              </w:rPr>
                            </w:pPr>
                            <w:r>
                              <w:rPr>
                                <w:rFonts w:ascii="Times New Roman" w:hAnsi="Times New Roman"/>
                                <w:sz w:val="18"/>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w:t>
                            </w:r>
                          </w:p>
                        </w:txbxContent>
                      </wps:txbx>
                      <wps:bodyPr anchor="t" lIns="0" tIns="0" rIns="0" bIns="0">
                        <a:noAutofit/>
                      </wps:bodyPr>
                    </wps:wsp>
                  </a:graphicData>
                </a:graphic>
                <wp14:sizeRelH relativeFrom="margin">
                  <wp14:pctWidth>22000</wp14:pctWidth>
                </wp14:sizeRelH>
              </wp:anchor>
            </w:drawing>
          </mc:Choice>
          <mc:Fallback>
            <w:pict>
              <v:rect style="position:absolute;rotation:-0;width:112.25pt;height:715.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18"/>
                        </w:rPr>
                      </w:pPr>
                      <w:r>
                        <w:rPr>
                          <w:rFonts w:ascii="Times New Roman" w:hAnsi="Times New Roman"/>
                          <w:sz w:val="18"/>
                        </w:rPr>
                        <w:t xml:space="preserve">The merger transaction described in this communication (the “Merger”) will be submitted to the Company’s stockholders for their consideration and approval at a special meeting. In connection with the Merger, Bowman Consulting Group Ltd. (the “Company”) intends to file with the Securities and Exchange Commission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communication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18"/>
                        </w:rPr>
                      </w:pPr>
                      <w:r>
                        <w:rPr>
                          <w:rFonts w:ascii="Times New Roman" w:hAnsi="Times New Roman"/>
                          <w:sz w:val="18"/>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490345" cy="8060055"/>
                <wp:effectExtent l="0" t="0" r="0" b="0"/>
                <wp:wrapSquare wrapText="right"/>
                <wp:docPr id="9" name="Frame5"/>
                <a:graphic xmlns:a="http://schemas.openxmlformats.org/drawingml/2006/main">
                  <a:graphicData uri="http://schemas.microsoft.com/office/word/2010/wordprocessingShape">
                    <wps:wsp>
                      <wps:cNvSpPr txBox="1"/>
                      <wps:spPr>
                        <a:xfrm>
                          <a:off x="0" y="0"/>
                          <a:ext cx="1490345" cy="8060055"/>
                        </a:xfrm>
                        <a:prstGeom prst="rect"/>
                        <a:solidFill>
                          <a:srgbClr val="FFFFFF"/>
                        </a:solidFill>
                      </wps:spPr>
                      <wps:txbx>
                        <w:txbxContent>
                          <w:p>
                            <w:pPr>
                              <w:pStyle w:val="TextBody"/>
                              <w:bidi w:val="0"/>
                              <w:spacing w:before="0" w:after="0"/>
                              <w:jc w:val="left"/>
                              <w:rPr>
                                <w:rFonts w:ascii="Times New Roman" w:hAnsi="Times New Roman"/>
                                <w:sz w:val="18"/>
                              </w:rPr>
                            </w:pPr>
                            <w:r>
                              <w:rPr>
                                <w:rFonts w:ascii="Times New Roman" w:hAnsi="Times New Roman"/>
                                <w:sz w:val="18"/>
                              </w:rPr>
                              <w:t xml:space="preserve">at investors.bowman.com or by directing a request to the Company by e-mail to ir@bowman.com, or by telephone to (703) 464-1000. </w:t>
                            </w:r>
                          </w:p>
                          <w:p>
                            <w:pPr>
                              <w:pStyle w:val="TextBody"/>
                              <w:bidi w:val="0"/>
                              <w:spacing w:before="360" w:after="0"/>
                              <w:jc w:val="left"/>
                              <w:rPr>
                                <w:rFonts w:ascii="Times New Roman" w:hAnsi="Times New Roman"/>
                                <w:b/>
                                <w:sz w:val="18"/>
                              </w:rPr>
                            </w:pPr>
                            <w:r>
                              <w:rPr>
                                <w:rFonts w:ascii="Times New Roman" w:hAnsi="Times New Roman"/>
                                <w:b/>
                                <w:sz w:val="18"/>
                              </w:rPr>
                              <w:t xml:space="preserve">Participants in the Solicitation </w:t>
                            </w:r>
                          </w:p>
                          <w:p>
                            <w:pPr>
                              <w:pStyle w:val="TextBody"/>
                              <w:bidi w:val="0"/>
                              <w:spacing w:before="120" w:after="0"/>
                              <w:jc w:val="left"/>
                              <w:rPr>
                                <w:rFonts w:ascii="Times New Roman" w:hAnsi="Times New Roman"/>
                                <w:sz w:val="18"/>
                              </w:rPr>
                            </w:pPr>
                            <w:r>
                              <w:rPr>
                                <w:rFonts w:ascii="Times New Roman" w:hAnsi="Times New Roman"/>
                                <w:sz w:val="18"/>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proxy statement on Schedule 14A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w:t>
                            </w:r>
                          </w:p>
                        </w:txbxContent>
                      </wps:txbx>
                      <wps:bodyPr anchor="t" lIns="0" tIns="0" rIns="0" bIns="0">
                        <a:noAutofit/>
                      </wps:bodyPr>
                    </wps:wsp>
                  </a:graphicData>
                </a:graphic>
                <wp14:sizeRelH relativeFrom="margin">
                  <wp14:pctWidth>23000</wp14:pctWidth>
                </wp14:sizeRelH>
              </wp:anchor>
            </w:drawing>
          </mc:Choice>
          <mc:Fallback>
            <w:pict>
              <v:rect style="position:absolute;rotation:-0;width:117.35pt;height:634.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18"/>
                        </w:rPr>
                      </w:pPr>
                      <w:r>
                        <w:rPr>
                          <w:rFonts w:ascii="Times New Roman" w:hAnsi="Times New Roman"/>
                          <w:sz w:val="18"/>
                        </w:rPr>
                        <w:t xml:space="preserve">at investors.bowman.com or by directing a request to the Company by e-mail to ir@bowman.com, or by telephone to (703) 464-1000. </w:t>
                      </w:r>
                    </w:p>
                    <w:p>
                      <w:pPr>
                        <w:pStyle w:val="TextBody"/>
                        <w:bidi w:val="0"/>
                        <w:spacing w:before="360" w:after="0"/>
                        <w:jc w:val="left"/>
                        <w:rPr>
                          <w:rFonts w:ascii="Times New Roman" w:hAnsi="Times New Roman"/>
                          <w:b/>
                          <w:sz w:val="18"/>
                        </w:rPr>
                      </w:pPr>
                      <w:r>
                        <w:rPr>
                          <w:rFonts w:ascii="Times New Roman" w:hAnsi="Times New Roman"/>
                          <w:b/>
                          <w:sz w:val="18"/>
                        </w:rPr>
                        <w:t xml:space="preserve">Participants in the Solicitation </w:t>
                      </w:r>
                    </w:p>
                    <w:p>
                      <w:pPr>
                        <w:pStyle w:val="TextBody"/>
                        <w:bidi w:val="0"/>
                        <w:spacing w:before="120" w:after="0"/>
                        <w:jc w:val="left"/>
                        <w:rPr>
                          <w:rFonts w:ascii="Times New Roman" w:hAnsi="Times New Roman"/>
                          <w:sz w:val="18"/>
                        </w:rPr>
                      </w:pPr>
                      <w:r>
                        <w:rPr>
                          <w:rFonts w:ascii="Times New Roman" w:hAnsi="Times New Roman"/>
                          <w:sz w:val="18"/>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proxy statement on Schedule 14A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w:t>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490345" cy="8081010"/>
                <wp:effectExtent l="0" t="0" r="0" b="0"/>
                <wp:wrapSquare wrapText="right"/>
                <wp:docPr id="10" name="Frame6"/>
                <a:graphic xmlns:a="http://schemas.openxmlformats.org/drawingml/2006/main">
                  <a:graphicData uri="http://schemas.microsoft.com/office/word/2010/wordprocessingShape">
                    <wps:wsp>
                      <wps:cNvSpPr txBox="1"/>
                      <wps:spPr>
                        <a:xfrm>
                          <a:off x="0" y="0"/>
                          <a:ext cx="1490345" cy="8081010"/>
                        </a:xfrm>
                        <a:prstGeom prst="rect"/>
                        <a:solidFill>
                          <a:srgbClr val="FFFFFF"/>
                        </a:solidFill>
                      </wps:spPr>
                      <wps:txbx>
                        <w:txbxContent>
                          <w:p>
                            <w:pPr>
                              <w:pStyle w:val="TextBody"/>
                              <w:bidi w:val="0"/>
                              <w:spacing w:before="0" w:after="0"/>
                              <w:jc w:val="left"/>
                              <w:rPr>
                                <w:rFonts w:ascii="Times New Roman" w:hAnsi="Times New Roman"/>
                                <w:sz w:val="18"/>
                              </w:rPr>
                            </w:pPr>
                            <w:r>
                              <w:rPr>
                                <w:rFonts w:ascii="Times New Roman" w:hAnsi="Times New Roman"/>
                                <w:sz w:val="18"/>
                              </w:rPr>
                              <w:t xml:space="preserve">free copies of these documents using the sources indicated above. </w:t>
                            </w:r>
                          </w:p>
                          <w:p>
                            <w:pPr>
                              <w:pStyle w:val="TextBody"/>
                              <w:bidi w:val="0"/>
                              <w:spacing w:before="360" w:after="0"/>
                              <w:jc w:val="left"/>
                              <w:rPr>
                                <w:rFonts w:ascii="Times New Roman" w:hAnsi="Times New Roman"/>
                                <w:b/>
                                <w:sz w:val="18"/>
                              </w:rPr>
                            </w:pPr>
                            <w:r>
                              <w:rPr>
                                <w:rFonts w:ascii="Times New Roman" w:hAnsi="Times New Roman"/>
                                <w:b/>
                                <w:sz w:val="18"/>
                              </w:rPr>
                              <w:t xml:space="preserve">Cautionary Statement Regarding Forward-Looking Statements </w:t>
                            </w:r>
                          </w:p>
                          <w:p>
                            <w:pPr>
                              <w:pStyle w:val="TextBody"/>
                              <w:bidi w:val="0"/>
                              <w:spacing w:before="120" w:after="0"/>
                              <w:jc w:val="left"/>
                              <w:rPr>
                                <w:rFonts w:ascii="Times New Roman" w:hAnsi="Times New Roman"/>
                                <w:sz w:val="18"/>
                              </w:rPr>
                            </w:pPr>
                            <w:r>
                              <w:rPr>
                                <w:rFonts w:ascii="Times New Roman" w:hAnsi="Times New Roman"/>
                                <w:sz w:val="18"/>
                              </w:rPr>
                              <w:t xml:space="preserve">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synergies, impacts and benefits of the Merger, the plans, strategies and prospects, both business and financial, of the Company, and any assumptions underlying any of the foregoing. </w:t>
                            </w:r>
                          </w:p>
                          <w:p>
                            <w:pPr>
                              <w:pStyle w:val="TextBody"/>
                              <w:bidi w:val="0"/>
                              <w:spacing w:before="240" w:after="0"/>
                              <w:jc w:val="left"/>
                              <w:rPr>
                                <w:rFonts w:ascii="Times New Roman" w:hAnsi="Times New Roman"/>
                                <w:sz w:val="18"/>
                              </w:rPr>
                            </w:pPr>
                            <w:r>
                              <w:rPr>
                                <w:rFonts w:ascii="Times New Roman" w:hAnsi="Times New Roman"/>
                                <w:sz w:val="18"/>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w:t>
                            </w:r>
                          </w:p>
                        </w:txbxContent>
                      </wps:txbx>
                      <wps:bodyPr anchor="t" lIns="0" tIns="0" rIns="0" bIns="0">
                        <a:noAutofit/>
                      </wps:bodyPr>
                    </wps:wsp>
                  </a:graphicData>
                </a:graphic>
                <wp14:sizeRelH relativeFrom="margin">
                  <wp14:pctWidth>23000</wp14:pctWidth>
                </wp14:sizeRelH>
              </wp:anchor>
            </w:drawing>
          </mc:Choice>
          <mc:Fallback>
            <w:pict>
              <v:rect style="position:absolute;rotation:-0;width:117.35pt;height:636.3pt;mso-wrap-distance-left:0pt;mso-wrap-distance-right:0pt;mso-wrap-distance-top:0pt;mso-wrap-distance-bottom:0pt;margin-top:0pt;mso-position-vertical:top;mso-position-vertical-relative:text;margin-left:117.35pt;mso-position-horizontal:left;mso-position-horizontal-relative:text">
                <v:textbox inset="0in,0in,0in,0in">
                  <w:txbxContent>
                    <w:p>
                      <w:pPr>
                        <w:pStyle w:val="TextBody"/>
                        <w:bidi w:val="0"/>
                        <w:spacing w:before="0" w:after="0"/>
                        <w:jc w:val="left"/>
                        <w:rPr>
                          <w:rFonts w:ascii="Times New Roman" w:hAnsi="Times New Roman"/>
                          <w:sz w:val="18"/>
                        </w:rPr>
                      </w:pPr>
                      <w:r>
                        <w:rPr>
                          <w:rFonts w:ascii="Times New Roman" w:hAnsi="Times New Roman"/>
                          <w:sz w:val="18"/>
                        </w:rPr>
                        <w:t xml:space="preserve">free copies of these documents using the sources indicated above. </w:t>
                      </w:r>
                    </w:p>
                    <w:p>
                      <w:pPr>
                        <w:pStyle w:val="TextBody"/>
                        <w:bidi w:val="0"/>
                        <w:spacing w:before="360" w:after="0"/>
                        <w:jc w:val="left"/>
                        <w:rPr>
                          <w:rFonts w:ascii="Times New Roman" w:hAnsi="Times New Roman"/>
                          <w:b/>
                          <w:sz w:val="18"/>
                        </w:rPr>
                      </w:pPr>
                      <w:r>
                        <w:rPr>
                          <w:rFonts w:ascii="Times New Roman" w:hAnsi="Times New Roman"/>
                          <w:b/>
                          <w:sz w:val="18"/>
                        </w:rPr>
                        <w:t xml:space="preserve">Cautionary Statement Regarding Forward-Looking Statements </w:t>
                      </w:r>
                    </w:p>
                    <w:p>
                      <w:pPr>
                        <w:pStyle w:val="TextBody"/>
                        <w:bidi w:val="0"/>
                        <w:spacing w:before="120" w:after="0"/>
                        <w:jc w:val="left"/>
                        <w:rPr>
                          <w:rFonts w:ascii="Times New Roman" w:hAnsi="Times New Roman"/>
                          <w:sz w:val="18"/>
                        </w:rPr>
                      </w:pPr>
                      <w:r>
                        <w:rPr>
                          <w:rFonts w:ascii="Times New Roman" w:hAnsi="Times New Roman"/>
                          <w:sz w:val="18"/>
                        </w:rPr>
                        <w:t xml:space="preserve">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synergies, impacts and benefits of the Merger, the plans, strategies and prospects, both business and financial, of the Company, and any assumptions underlying any of the foregoing. </w:t>
                      </w:r>
                    </w:p>
                    <w:p>
                      <w:pPr>
                        <w:pStyle w:val="TextBody"/>
                        <w:bidi w:val="0"/>
                        <w:spacing w:before="240" w:after="0"/>
                        <w:jc w:val="left"/>
                        <w:rPr>
                          <w:rFonts w:ascii="Times New Roman" w:hAnsi="Times New Roman"/>
                          <w:sz w:val="18"/>
                        </w:rPr>
                      </w:pPr>
                      <w:r>
                        <w:rPr>
                          <w:rFonts w:ascii="Times New Roman" w:hAnsi="Times New Roman"/>
                          <w:sz w:val="18"/>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w:t>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490345" cy="8170545"/>
                <wp:effectExtent l="0" t="0" r="0" b="0"/>
                <wp:wrapSquare wrapText="right"/>
                <wp:docPr id="11" name="Frame7"/>
                <a:graphic xmlns:a="http://schemas.openxmlformats.org/drawingml/2006/main">
                  <a:graphicData uri="http://schemas.microsoft.com/office/word/2010/wordprocessingShape">
                    <wps:wsp>
                      <wps:cNvSpPr txBox="1"/>
                      <wps:spPr>
                        <a:xfrm>
                          <a:off x="0" y="0"/>
                          <a:ext cx="1490345" cy="8170545"/>
                        </a:xfrm>
                        <a:prstGeom prst="rect"/>
                        <a:solidFill>
                          <a:srgbClr val="FFFFFF"/>
                        </a:solidFill>
                      </wps:spPr>
                      <wps:txbx>
                        <w:txbxContent>
                          <w:p>
                            <w:pPr>
                              <w:pStyle w:val="TextBody"/>
                              <w:bidi w:val="0"/>
                              <w:spacing w:before="0" w:after="0"/>
                              <w:jc w:val="left"/>
                              <w:rPr>
                                <w:rFonts w:ascii="Times New Roman" w:hAnsi="Times New Roman"/>
                                <w:sz w:val="18"/>
                              </w:rPr>
                            </w:pPr>
                            <w:r>
                              <w:rPr>
                                <w:rFonts w:ascii="Times New Roman" w:hAnsi="Times New Roman"/>
                                <w:sz w:val="18"/>
                              </w:rPr>
                              <w:t xml:space="preserve">unknown risks and uncertainties that may cause actual results to differ materially from the Company’s current expectations. </w:t>
                            </w:r>
                          </w:p>
                          <w:p>
                            <w:pPr>
                              <w:pStyle w:val="TextBody"/>
                              <w:bidi w:val="0"/>
                              <w:spacing w:before="240" w:after="0"/>
                              <w:jc w:val="left"/>
                              <w:rPr>
                                <w:rFonts w:ascii="Times New Roman" w:hAnsi="Times New Roman"/>
                                <w:sz w:val="18"/>
                              </w:rPr>
                            </w:pPr>
                            <w:r>
                              <w:rPr>
                                <w:rFonts w:ascii="Times New Roman" w:hAnsi="Times New Roman"/>
                                <w:sz w:val="18"/>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ability of Bernhard to procure the financing required to complete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Bernhard if the Merger Agreement is terminated in certain circumstances, (viii) litigation being instituted against the Company, Bernhard or </w:t>
                            </w:r>
                          </w:p>
                        </w:txbxContent>
                      </wps:txbx>
                      <wps:bodyPr anchor="t" lIns="0" tIns="0" rIns="0" bIns="0">
                        <a:noAutofit/>
                      </wps:bodyPr>
                    </wps:wsp>
                  </a:graphicData>
                </a:graphic>
                <wp14:sizeRelH relativeFrom="margin">
                  <wp14:pctWidth>23000</wp14:pctWidth>
                </wp14:sizeRelH>
              </wp:anchor>
            </w:drawing>
          </mc:Choice>
          <mc:Fallback>
            <w:pict>
              <v:rect style="position:absolute;rotation:-0;width:117.35pt;height:643.35pt;mso-wrap-distance-left:0pt;mso-wrap-distance-right:0pt;mso-wrap-distance-top:0pt;mso-wrap-distance-bottom:0pt;margin-top:0pt;mso-position-vertical:top;mso-position-vertical-relative:text;margin-left:234.7pt;mso-position-horizontal:left;mso-position-horizontal-relative:text">
                <v:textbox inset="0in,0in,0in,0in">
                  <w:txbxContent>
                    <w:p>
                      <w:pPr>
                        <w:pStyle w:val="TextBody"/>
                        <w:bidi w:val="0"/>
                        <w:spacing w:before="0" w:after="0"/>
                        <w:jc w:val="left"/>
                        <w:rPr>
                          <w:rFonts w:ascii="Times New Roman" w:hAnsi="Times New Roman"/>
                          <w:sz w:val="18"/>
                        </w:rPr>
                      </w:pPr>
                      <w:r>
                        <w:rPr>
                          <w:rFonts w:ascii="Times New Roman" w:hAnsi="Times New Roman"/>
                          <w:sz w:val="18"/>
                        </w:rPr>
                        <w:t xml:space="preserve">unknown risks and uncertainties that may cause actual results to differ materially from the Company’s current expectations. </w:t>
                      </w:r>
                    </w:p>
                    <w:p>
                      <w:pPr>
                        <w:pStyle w:val="TextBody"/>
                        <w:bidi w:val="0"/>
                        <w:spacing w:before="240" w:after="0"/>
                        <w:jc w:val="left"/>
                        <w:rPr>
                          <w:rFonts w:ascii="Times New Roman" w:hAnsi="Times New Roman"/>
                          <w:sz w:val="18"/>
                        </w:rPr>
                      </w:pPr>
                      <w:r>
                        <w:rPr>
                          <w:rFonts w:ascii="Times New Roman" w:hAnsi="Times New Roman"/>
                          <w:sz w:val="18"/>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ability of Bernhard to procure the financing required to complete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Bernhard if the Merger Agreement is terminated in certain circumstances, (viii) litigation being instituted against the Company, Bernhard or </w:t>
                      </w:r>
                    </w:p>
                  </w:txbxContent>
                </v:textbox>
                <w10:wrap type="square" side="right"/>
              </v:rect>
            </w:pict>
          </mc:Fallback>
        </mc:AlternateContent>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b/>
              </w:rPr>
            </w:pPr>
            <w:r>
              <w:rPr>
                <w:b/>
              </w:rPr>
              <w:t>Important Information and Where to Find It</w:t>
            </w:r>
          </w:p>
        </w:tc>
      </w:tr>
    </w:tbl>
    <w:p>
      <w:pPr>
        <w:pStyle w:val="TextBody"/>
        <w:bidi w:val="0"/>
        <w:spacing w:before="0" w:after="0"/>
        <w:jc w:val="left"/>
        <w:rPr/>
      </w:pPr>
      <w:r>
        <w:rPr/>
        <w:t> </w:t>
      </w:r>
    </w:p>
    <w:p>
      <w:pPr>
        <w:pStyle w:val="TextBody"/>
        <w:bidi w:val="0"/>
        <w:spacing w:before="0" w:after="283"/>
        <w:jc w:val="left"/>
        <w:rPr/>
      </w:pPr>
      <w:r>
        <w:rPr/>
        <w:t>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425575" cy="8696325"/>
                <wp:effectExtent l="0" t="0" r="0" b="0"/>
                <wp:wrapSquare wrapText="right"/>
                <wp:docPr id="12" name="Frame8"/>
                <a:graphic xmlns:a="http://schemas.openxmlformats.org/drawingml/2006/main">
                  <a:graphicData uri="http://schemas.microsoft.com/office/word/2010/wordprocessingShape">
                    <wps:wsp>
                      <wps:cNvSpPr txBox="1"/>
                      <wps:spPr>
                        <a:xfrm>
                          <a:off x="0" y="0"/>
                          <a:ext cx="1425575" cy="8696325"/>
                        </a:xfrm>
                        <a:prstGeom prst="rect"/>
                        <a:solidFill>
                          <a:srgbClr val="FFFFFF"/>
                        </a:solidFill>
                      </wps:spPr>
                      <wps:txbx>
                        <w:txbxContent>
                          <w:p>
                            <w:pPr>
                              <w:pStyle w:val="TextBody"/>
                              <w:bidi w:val="0"/>
                              <w:spacing w:before="0" w:after="0"/>
                              <w:jc w:val="left"/>
                              <w:rPr>
                                <w:rFonts w:ascii="Times New Roman" w:hAnsi="Times New Roman"/>
                                <w:sz w:val="18"/>
                              </w:rPr>
                            </w:pPr>
                            <w:r>
                              <w:rPr>
                                <w:rFonts w:ascii="Times New Roman" w:hAnsi="Times New Roman"/>
                                <w:sz w:val="18"/>
                              </w:rPr>
                              <w:t xml:space="preserve">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240" w:after="0"/>
                              <w:jc w:val="left"/>
                              <w:rPr>
                                <w:rFonts w:ascii="Times New Roman" w:hAnsi="Times New Roman"/>
                                <w:sz w:val="18"/>
                              </w:rPr>
                            </w:pPr>
                            <w:r>
                              <w:rPr>
                                <w:rFonts w:ascii="Times New Roman" w:hAnsi="Times New Roman"/>
                                <w:sz w:val="18"/>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Form 10-K for the fiscal year ended December 31, 2025, filed with the SEC, and other filings 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w:t>
                            </w:r>
                          </w:p>
                        </w:txbxContent>
                      </wps:txbx>
                      <wps:bodyPr anchor="t" lIns="0" tIns="0" rIns="0" bIns="0">
                        <a:noAutofit/>
                      </wps:bodyPr>
                    </wps:wsp>
                  </a:graphicData>
                </a:graphic>
                <wp14:sizeRelH relativeFrom="margin">
                  <wp14:pctWidth>22000</wp14:pctWidth>
                </wp14:sizeRelH>
              </wp:anchor>
            </w:drawing>
          </mc:Choice>
          <mc:Fallback>
            <w:pict>
              <v:rect style="position:absolute;rotation:-0;width:112.25pt;height:684.75pt;mso-wrap-distance-left:0pt;mso-wrap-distance-right:0pt;mso-wrap-distance-top:0pt;mso-wrap-distance-bottom:0pt;margin-top:0pt;mso-position-vertical:top;mso-position-vertical-relative:text;margin-left:112.25pt;mso-position-horizontal:left;mso-position-horizontal-relative:text">
                <v:textbox inset="0in,0in,0in,0in">
                  <w:txbxContent>
                    <w:p>
                      <w:pPr>
                        <w:pStyle w:val="TextBody"/>
                        <w:bidi w:val="0"/>
                        <w:spacing w:before="0" w:after="0"/>
                        <w:jc w:val="left"/>
                        <w:rPr>
                          <w:rFonts w:ascii="Times New Roman" w:hAnsi="Times New Roman"/>
                          <w:sz w:val="18"/>
                        </w:rPr>
                      </w:pPr>
                      <w:r>
                        <w:rPr>
                          <w:rFonts w:ascii="Times New Roman" w:hAnsi="Times New Roman"/>
                          <w:sz w:val="18"/>
                        </w:rPr>
                        <w:t xml:space="preserve">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240" w:after="0"/>
                        <w:jc w:val="left"/>
                        <w:rPr>
                          <w:rFonts w:ascii="Times New Roman" w:hAnsi="Times New Roman"/>
                          <w:sz w:val="18"/>
                        </w:rPr>
                      </w:pPr>
                      <w:r>
                        <w:rPr>
                          <w:rFonts w:ascii="Times New Roman" w:hAnsi="Times New Roman"/>
                          <w:sz w:val="18"/>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Form 10-K for the fiscal year ended December 31, 2025, filed with the SEC, and other filings 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w:t>
                      </w:r>
                    </w:p>
                  </w:txbxContent>
                </v:textbox>
                <w10:wrap type="square" side="right"/>
              </v:rect>
            </w:pict>
          </mc:Fallback>
        </mc:AlternateConten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490345" cy="3459480"/>
                <wp:effectExtent l="0" t="0" r="0" b="0"/>
                <wp:wrapSquare wrapText="right"/>
                <wp:docPr id="13" name="Frame9"/>
                <a:graphic xmlns:a="http://schemas.openxmlformats.org/drawingml/2006/main">
                  <a:graphicData uri="http://schemas.microsoft.com/office/word/2010/wordprocessingShape">
                    <wps:wsp>
                      <wps:cNvSpPr txBox="1"/>
                      <wps:spPr>
                        <a:xfrm>
                          <a:off x="0" y="0"/>
                          <a:ext cx="1490345" cy="3459480"/>
                        </a:xfrm>
                        <a:prstGeom prst="rect"/>
                        <a:solidFill>
                          <a:srgbClr val="FFFFFF"/>
                        </a:solidFill>
                      </wps:spPr>
                      <wps:txbx>
                        <w:txbxContent>
                          <w:p>
                            <w:pPr>
                              <w:pStyle w:val="TextBody"/>
                              <w:bidi w:val="0"/>
                              <w:spacing w:before="0" w:after="0"/>
                              <w:jc w:val="left"/>
                              <w:rPr>
                                <w:rFonts w:ascii="Times New Roman" w:hAnsi="Times New Roman"/>
                                <w:sz w:val="18"/>
                              </w:rPr>
                            </w:pPr>
                            <w:r>
                              <w:rPr>
                                <w:rFonts w:ascii="Times New Roman" w:hAnsi="Times New Roman"/>
                                <w:sz w:val="18"/>
                              </w:rPr>
                              <w:t xml:space="preserve">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b/>
                                <w:sz w:val="18"/>
                              </w:rPr>
                            </w:pPr>
                            <w:r>
                              <w:rPr>
                                <w:rFonts w:ascii="Times New Roman" w:hAnsi="Times New Roman"/>
                                <w:b/>
                                <w:sz w:val="18"/>
                              </w:rPr>
                              <w:t xml:space="preserve">No Offer or Solicitation </w:t>
                            </w:r>
                          </w:p>
                          <w:p>
                            <w:pPr>
                              <w:pStyle w:val="TextBody"/>
                              <w:bidi w:val="0"/>
                              <w:spacing w:before="120" w:after="0"/>
                              <w:jc w:val="left"/>
                              <w:rPr>
                                <w:rFonts w:ascii="Times New Roman" w:hAnsi="Times New Roman"/>
                                <w:sz w:val="18"/>
                              </w:rPr>
                            </w:pPr>
                            <w:r>
                              <w:rPr>
                                <w:rFonts w:ascii="Times New Roman" w:hAnsi="Times New Roman"/>
                                <w:sz w:val="18"/>
                              </w:rPr>
                              <w:t xml:space="preserve">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txbxContent>
                      </wps:txbx>
                      <wps:bodyPr anchor="t" lIns="0" tIns="0" rIns="0" bIns="0">
                        <a:noAutofit/>
                      </wps:bodyPr>
                    </wps:wsp>
                  </a:graphicData>
                </a:graphic>
                <wp14:sizeRelH relativeFrom="margin">
                  <wp14:pctWidth>23000</wp14:pctWidth>
                </wp14:sizeRelH>
              </wp:anchor>
            </w:drawing>
          </mc:Choice>
          <mc:Fallback>
            <w:pict>
              <v:rect style="position:absolute;rotation:-0;width:117.35pt;height:272.4pt;mso-wrap-distance-left:0pt;mso-wrap-distance-right:0pt;mso-wrap-distance-top:0pt;mso-wrap-distance-bottom:0pt;margin-top:0pt;mso-position-vertical:top;mso-position-vertical-relative:text;margin-left:224.5pt;mso-position-horizontal:left;mso-position-horizontal-relative:text">
                <v:textbox inset="0in,0in,0in,0in">
                  <w:txbxContent>
                    <w:p>
                      <w:pPr>
                        <w:pStyle w:val="TextBody"/>
                        <w:bidi w:val="0"/>
                        <w:spacing w:before="0" w:after="0"/>
                        <w:jc w:val="left"/>
                        <w:rPr>
                          <w:rFonts w:ascii="Times New Roman" w:hAnsi="Times New Roman"/>
                          <w:sz w:val="18"/>
                        </w:rPr>
                      </w:pPr>
                      <w:r>
                        <w:rPr>
                          <w:rFonts w:ascii="Times New Roman" w:hAnsi="Times New Roman"/>
                          <w:sz w:val="18"/>
                        </w:rPr>
                        <w:t xml:space="preserve">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b/>
                          <w:sz w:val="18"/>
                        </w:rPr>
                      </w:pPr>
                      <w:r>
                        <w:rPr>
                          <w:rFonts w:ascii="Times New Roman" w:hAnsi="Times New Roman"/>
                          <w:b/>
                          <w:sz w:val="18"/>
                        </w:rPr>
                        <w:t xml:space="preserve">No Offer or Solicitation </w:t>
                      </w:r>
                    </w:p>
                    <w:p>
                      <w:pPr>
                        <w:pStyle w:val="TextBody"/>
                        <w:bidi w:val="0"/>
                        <w:spacing w:before="120" w:after="0"/>
                        <w:jc w:val="left"/>
                        <w:rPr>
                          <w:rFonts w:ascii="Times New Roman" w:hAnsi="Times New Roman"/>
                          <w:sz w:val="18"/>
                        </w:rPr>
                      </w:pPr>
                      <w:r>
                        <w:rPr>
                          <w:rFonts w:ascii="Times New Roman" w:hAnsi="Times New Roman"/>
                          <w:sz w:val="18"/>
                        </w:rPr>
                        <w:t xml:space="preserve">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490345" cy="175260"/>
                <wp:effectExtent l="0" t="0" r="0" b="0"/>
                <wp:wrapSquare wrapText="right"/>
                <wp:docPr id="14" name="Frame10"/>
                <a:graphic xmlns:a="http://schemas.openxmlformats.org/drawingml/2006/main">
                  <a:graphicData uri="http://schemas.microsoft.com/office/word/2010/wordprocessingShape">
                    <wps:wsp>
                      <wps:cNvSpPr txBox="1"/>
                      <wps:spPr>
                        <a:xfrm>
                          <a:off x="0" y="0"/>
                          <a:ext cx="1490345" cy="17526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23000</wp14:pctWidth>
                </wp14:sizeRelH>
              </wp:anchor>
            </w:drawing>
          </mc:Choice>
          <mc:Fallback>
            <w:pict>
              <v:rect style="position:absolute;rotation:-0;width:117.35pt;height:13.8pt;mso-wrap-distance-left:0pt;mso-wrap-distance-right:0pt;mso-wrap-distance-top:0pt;mso-wrap-distance-bottom:0pt;margin-top:0pt;mso-position-vertical:top;mso-position-vertical-relative:text;margin-left:341.85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490345" cy="175260"/>
                <wp:effectExtent l="0" t="0" r="0" b="0"/>
                <wp:wrapSquare wrapText="right"/>
                <wp:docPr id="15" name="Frame11"/>
                <a:graphic xmlns:a="http://schemas.openxmlformats.org/drawingml/2006/main">
                  <a:graphicData uri="http://schemas.microsoft.com/office/word/2010/wordprocessingShape">
                    <wps:wsp>
                      <wps:cNvSpPr txBox="1"/>
                      <wps:spPr>
                        <a:xfrm>
                          <a:off x="0" y="0"/>
                          <a:ext cx="1490345" cy="175260"/>
                        </a:xfrm>
                        <a:prstGeom prst="rect"/>
                        <a:solidFill>
                          <a:srgbClr val="FFFFFF"/>
                        </a:solidFill>
                      </wps:spPr>
                      <wps:txbx>
                        <w:txbxContent>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23000</wp14:pctWidth>
                </wp14:sizeRelH>
              </wp:anchor>
            </w:drawing>
          </mc:Choice>
          <mc:Fallback>
            <w:pict>
              <v:rect style="position:absolute;rotation:-0;width:117.35pt;height:13.8pt;mso-wrap-distance-left:0pt;mso-wrap-distance-right:0pt;mso-wrap-distance-top:0pt;mso-wrap-distance-bottom:0pt;margin-top:0pt;mso-position-vertical:top;mso-position-vertical-relative:text;margin-left:341.85pt;mso-position-horizontal:left;mso-position-horizontal-relative:text">
                <v:textbox inset="0in,0in,0in,0in">
                  <w:txbxContent>
                    <w:p>
                      <w:pPr>
                        <w:pStyle w:val="TextBody"/>
                        <w:bidi w:val="0"/>
                        <w:spacing w:before="0" w:after="0"/>
                        <w:jc w:val="left"/>
                        <w:rPr/>
                      </w:pPr>
                      <w:r>
                        <w:rPr/>
                        <w:t xml:space="preserve">  </w:t>
                      </w:r>
                    </w:p>
                  </w:txbxContent>
                </v:textbox>
                <w10:wrap type="square" side="right"/>
              </v:rect>
            </w:pict>
          </mc:Fallback>
        </mc:AlternateConten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2126</Words>
  <Characters>11647</Characters>
  <CharactersWithSpaces>13796</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